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F69" w:rsidRPr="000F3B66" w:rsidRDefault="00FB5F69" w:rsidP="00686222">
      <w:pPr>
        <w:spacing w:line="240" w:lineRule="auto"/>
        <w:jc w:val="center"/>
        <w:rPr>
          <w:rFonts w:cs="Arial"/>
          <w:b/>
          <w:szCs w:val="24"/>
          <w:u w:val="single"/>
        </w:rPr>
      </w:pPr>
      <w:bookmarkStart w:id="0" w:name="_GoBack"/>
      <w:bookmarkEnd w:id="0"/>
      <w:r w:rsidRPr="000F3B66">
        <w:rPr>
          <w:rFonts w:cs="Arial"/>
          <w:b/>
          <w:szCs w:val="24"/>
          <w:u w:val="single"/>
        </w:rPr>
        <w:t>Koalitionsverhandlungen von CDU, CSU und SPD</w:t>
      </w:r>
    </w:p>
    <w:p w:rsidR="00334DA8" w:rsidRPr="000F3B66" w:rsidRDefault="00FB5F69" w:rsidP="00686222">
      <w:pPr>
        <w:spacing w:line="240" w:lineRule="auto"/>
        <w:jc w:val="center"/>
        <w:rPr>
          <w:rFonts w:cs="Arial"/>
          <w:b/>
          <w:szCs w:val="24"/>
          <w:u w:val="single"/>
        </w:rPr>
      </w:pPr>
      <w:r w:rsidRPr="000F3B66">
        <w:rPr>
          <w:rFonts w:cs="Arial"/>
          <w:b/>
          <w:szCs w:val="24"/>
          <w:u w:val="single"/>
        </w:rPr>
        <w:t>Arbeitsgruppe Finanzen</w:t>
      </w:r>
    </w:p>
    <w:p w:rsidR="00FB5F69" w:rsidRPr="000F3B66" w:rsidRDefault="00FB5F69" w:rsidP="00686222">
      <w:pPr>
        <w:spacing w:line="240" w:lineRule="auto"/>
        <w:rPr>
          <w:rFonts w:cs="Arial"/>
          <w:szCs w:val="24"/>
        </w:rPr>
      </w:pPr>
    </w:p>
    <w:p w:rsidR="00287EAD" w:rsidRPr="000F3B66" w:rsidRDefault="00287EAD" w:rsidP="00686222">
      <w:pPr>
        <w:spacing w:line="240" w:lineRule="auto"/>
        <w:rPr>
          <w:rFonts w:cs="Arial"/>
          <w:szCs w:val="24"/>
        </w:rPr>
      </w:pPr>
    </w:p>
    <w:p w:rsidR="00EC2540" w:rsidRPr="000F3B66" w:rsidRDefault="00EC2540" w:rsidP="00686222">
      <w:pPr>
        <w:spacing w:line="240" w:lineRule="auto"/>
        <w:rPr>
          <w:rFonts w:cs="Arial"/>
          <w:b/>
          <w:sz w:val="28"/>
          <w:szCs w:val="24"/>
        </w:rPr>
      </w:pPr>
      <w:r w:rsidRPr="000F3B66">
        <w:rPr>
          <w:rFonts w:cs="Arial"/>
          <w:b/>
          <w:sz w:val="28"/>
          <w:szCs w:val="24"/>
        </w:rPr>
        <w:t>Nachhaltige und zukunftsgestaltende Haushaltspolitik</w:t>
      </w:r>
    </w:p>
    <w:p w:rsidR="00EC2540" w:rsidRDefault="00EC2540" w:rsidP="00686222">
      <w:pPr>
        <w:spacing w:line="240" w:lineRule="auto"/>
        <w:rPr>
          <w:rFonts w:cs="Arial"/>
          <w:szCs w:val="24"/>
        </w:rPr>
      </w:pPr>
    </w:p>
    <w:p w:rsidR="00B3461E" w:rsidRDefault="00B3461E" w:rsidP="00686222">
      <w:pPr>
        <w:spacing w:line="240" w:lineRule="auto"/>
        <w:rPr>
          <w:rFonts w:cs="Arial"/>
          <w:szCs w:val="24"/>
        </w:rPr>
      </w:pPr>
      <w:r w:rsidRPr="00B3461E">
        <w:rPr>
          <w:rFonts w:cs="Arial"/>
          <w:szCs w:val="24"/>
        </w:rPr>
        <w:t>Deutschland ist ein wirtschaftlich und sozial stabiles Land mit einer soliden finanziellen Basis. Dafür sind im zurückliegenden Jahrzehnt wichtige Grundlagen geschaffen worden. Sie sind im Licht der nationalen und internationalen Veränderungen weiterzuentwickeln, um Wettbewerbsfähigkeit, Innovationskraft und sozialen Zusammenhalt zu sichern. Wir wollen die Voraussetzungen für Investitionen in die Zukunft auf einer weiterhin soliden finanziellen Gru</w:t>
      </w:r>
      <w:r>
        <w:rPr>
          <w:rFonts w:cs="Arial"/>
          <w:szCs w:val="24"/>
        </w:rPr>
        <w:t>n</w:t>
      </w:r>
      <w:r w:rsidRPr="00B3461E">
        <w:rPr>
          <w:rFonts w:cs="Arial"/>
          <w:szCs w:val="24"/>
        </w:rPr>
        <w:t>dlage schaffen. Eine wichtige Voraussetzung dafür ist die nachhaltige Konsolidierung des öffentlichen Gesamthaushalts. Bund, Länder, Kommunen und Sozialkassen müssen finanziell so ausgestattet sein, dass sie die ihnen übertragenen Aufgaben erfüllen und im Rahmen ihrer Kompetenzen Weichenstellungen für die Zukunft unseres Landes stellen können. Zugleich muss die Ausgabenseite auf allen Ebenen kontinuierlich kritisch überprüft werden.</w:t>
      </w:r>
    </w:p>
    <w:p w:rsidR="00B3461E" w:rsidRPr="000F3B66" w:rsidRDefault="00B3461E" w:rsidP="00686222">
      <w:pPr>
        <w:spacing w:line="240" w:lineRule="auto"/>
        <w:rPr>
          <w:rFonts w:cs="Arial"/>
          <w:szCs w:val="24"/>
        </w:rPr>
      </w:pPr>
    </w:p>
    <w:p w:rsidR="00EC2540" w:rsidRPr="000F3B66" w:rsidRDefault="00EC2540" w:rsidP="00686222">
      <w:pPr>
        <w:spacing w:line="240" w:lineRule="auto"/>
        <w:rPr>
          <w:rFonts w:cs="Arial"/>
          <w:b/>
          <w:szCs w:val="24"/>
        </w:rPr>
      </w:pPr>
      <w:r w:rsidRPr="000F3B66">
        <w:rPr>
          <w:rFonts w:cs="Arial"/>
          <w:b/>
          <w:szCs w:val="24"/>
        </w:rPr>
        <w:t>Gesamtstaatliche Verantwortung</w:t>
      </w:r>
    </w:p>
    <w:p w:rsidR="00B3461E" w:rsidRDefault="00B3461E" w:rsidP="00686222">
      <w:pPr>
        <w:spacing w:line="240" w:lineRule="auto"/>
        <w:rPr>
          <w:rFonts w:cs="Arial"/>
          <w:szCs w:val="24"/>
        </w:rPr>
      </w:pPr>
    </w:p>
    <w:p w:rsidR="00EC2540" w:rsidRPr="000F3B66" w:rsidRDefault="00EC2540" w:rsidP="00686222">
      <w:pPr>
        <w:spacing w:line="240" w:lineRule="auto"/>
        <w:rPr>
          <w:rFonts w:cs="Arial"/>
          <w:szCs w:val="24"/>
        </w:rPr>
      </w:pPr>
      <w:r w:rsidRPr="000F3B66">
        <w:rPr>
          <w:rFonts w:cs="Arial"/>
          <w:szCs w:val="24"/>
        </w:rPr>
        <w:t>Bund, Länder, Kommunen und Sozialversiche</w:t>
      </w:r>
      <w:r w:rsidRPr="000F3B66">
        <w:rPr>
          <w:rFonts w:cs="Arial"/>
          <w:szCs w:val="24"/>
        </w:rPr>
        <w:softHyphen/>
        <w:t>rungen bilden den öffentlichen Gesamthaushalt. Sie müssen sich gemeinsam den Regelungen und Vereinbarungen zur Finanz- und Haushalts</w:t>
      </w:r>
      <w:r w:rsidRPr="000F3B66">
        <w:rPr>
          <w:rFonts w:cs="Arial"/>
          <w:szCs w:val="24"/>
        </w:rPr>
        <w:softHyphen/>
        <w:t>politik Deutschlands stellen:</w:t>
      </w:r>
    </w:p>
    <w:p w:rsidR="00EC2540" w:rsidRPr="000F3B66" w:rsidRDefault="00EC2540" w:rsidP="00686222">
      <w:pPr>
        <w:spacing w:line="240" w:lineRule="auto"/>
        <w:rPr>
          <w:rFonts w:cs="Arial"/>
          <w:szCs w:val="24"/>
        </w:rPr>
      </w:pPr>
    </w:p>
    <w:p w:rsidR="00373ADD" w:rsidRPr="000F3B66" w:rsidRDefault="00EC2540" w:rsidP="00686222">
      <w:pPr>
        <w:numPr>
          <w:ilvl w:val="0"/>
          <w:numId w:val="2"/>
        </w:numPr>
        <w:spacing w:line="240" w:lineRule="auto"/>
        <w:rPr>
          <w:rFonts w:cs="Arial"/>
          <w:szCs w:val="24"/>
        </w:rPr>
      </w:pPr>
      <w:r w:rsidRPr="000F3B66">
        <w:rPr>
          <w:rFonts w:cs="Arial"/>
          <w:szCs w:val="24"/>
        </w:rPr>
        <w:t>Die von der letzten Großen Koalition verabschiedete Schuldenregel im Grundges</w:t>
      </w:r>
      <w:r w:rsidR="006367B7" w:rsidRPr="000F3B66">
        <w:rPr>
          <w:rFonts w:cs="Arial"/>
          <w:szCs w:val="24"/>
        </w:rPr>
        <w:t xml:space="preserve">etz ist strikt einzuhalten. </w:t>
      </w:r>
      <w:r w:rsidRPr="000F3B66">
        <w:rPr>
          <w:rFonts w:cs="Arial"/>
          <w:szCs w:val="24"/>
        </w:rPr>
        <w:t xml:space="preserve">Der Bund hat die für ihn geltenden Verpflichtungen bereits frühzeitig erfüllt und darf dahinter nicht zurückfallen. </w:t>
      </w:r>
    </w:p>
    <w:p w:rsidR="006367B7" w:rsidRPr="000F3B66" w:rsidRDefault="006367B7" w:rsidP="006367B7">
      <w:pPr>
        <w:spacing w:line="240" w:lineRule="auto"/>
        <w:ind w:left="360"/>
        <w:rPr>
          <w:rFonts w:cs="Arial"/>
          <w:szCs w:val="24"/>
        </w:rPr>
      </w:pPr>
    </w:p>
    <w:p w:rsidR="00373ADD" w:rsidRPr="000F3B66" w:rsidRDefault="00EC2540" w:rsidP="00686222">
      <w:pPr>
        <w:numPr>
          <w:ilvl w:val="0"/>
          <w:numId w:val="2"/>
        </w:numPr>
        <w:spacing w:line="240" w:lineRule="auto"/>
        <w:rPr>
          <w:rFonts w:cs="Arial"/>
          <w:szCs w:val="24"/>
        </w:rPr>
      </w:pPr>
      <w:r w:rsidRPr="000F3B66">
        <w:rPr>
          <w:rFonts w:cs="Arial"/>
          <w:szCs w:val="24"/>
        </w:rPr>
        <w:t>Die gesamtstaatlichen Verpflichtungen aus dem Europäischen Fiskalpakt sind einzuhalten.</w:t>
      </w:r>
    </w:p>
    <w:p w:rsidR="00373ADD" w:rsidRPr="000F3B66" w:rsidRDefault="00373ADD" w:rsidP="00686222">
      <w:pPr>
        <w:spacing w:line="240" w:lineRule="auto"/>
        <w:ind w:left="360"/>
        <w:rPr>
          <w:rFonts w:cs="Arial"/>
          <w:szCs w:val="24"/>
        </w:rPr>
      </w:pPr>
    </w:p>
    <w:p w:rsidR="00373ADD" w:rsidRPr="000F3B66" w:rsidRDefault="00EC2540" w:rsidP="00686222">
      <w:pPr>
        <w:numPr>
          <w:ilvl w:val="0"/>
          <w:numId w:val="2"/>
        </w:numPr>
        <w:spacing w:line="240" w:lineRule="auto"/>
        <w:rPr>
          <w:rFonts w:cs="Arial"/>
          <w:szCs w:val="24"/>
        </w:rPr>
      </w:pPr>
      <w:r w:rsidRPr="000F3B66">
        <w:rPr>
          <w:rFonts w:cs="Arial"/>
          <w:szCs w:val="24"/>
        </w:rPr>
        <w:t>Die Stabilitätskriterien für Defizit- und Schuldenquote nach dem verschärften europäischen Stabilitäts- und Wachstumspakt sind einzuhalten.</w:t>
      </w:r>
    </w:p>
    <w:p w:rsidR="00373ADD" w:rsidRPr="000F3B66" w:rsidRDefault="00373ADD" w:rsidP="00686222">
      <w:pPr>
        <w:spacing w:line="240" w:lineRule="auto"/>
        <w:ind w:left="360"/>
        <w:rPr>
          <w:rFonts w:cs="Arial"/>
          <w:i/>
          <w:szCs w:val="24"/>
        </w:rPr>
      </w:pPr>
    </w:p>
    <w:p w:rsidR="00EC2540" w:rsidRPr="000F3B66" w:rsidRDefault="00EC2540" w:rsidP="00A34325">
      <w:pPr>
        <w:numPr>
          <w:ilvl w:val="0"/>
          <w:numId w:val="2"/>
        </w:numPr>
        <w:spacing w:line="240" w:lineRule="auto"/>
        <w:ind w:left="357" w:hanging="357"/>
        <w:rPr>
          <w:rFonts w:cs="Arial"/>
          <w:szCs w:val="24"/>
        </w:rPr>
      </w:pPr>
      <w:r w:rsidRPr="000F3B66">
        <w:rPr>
          <w:rFonts w:cs="Arial"/>
          <w:szCs w:val="24"/>
        </w:rPr>
        <w:t xml:space="preserve">Der Stabilitäts- und Wachstumspakt verlangt eine konsequente Rückführung der gesamtstaatlichen Schuldenstandsquote auf unter 60 Prozent des </w:t>
      </w:r>
      <w:r w:rsidR="000F3B66">
        <w:rPr>
          <w:rFonts w:cs="Arial"/>
          <w:szCs w:val="24"/>
        </w:rPr>
        <w:t>Bruttoinlandsprodukts (</w:t>
      </w:r>
      <w:r w:rsidRPr="000F3B66">
        <w:rPr>
          <w:rFonts w:cs="Arial"/>
          <w:szCs w:val="24"/>
        </w:rPr>
        <w:t>BIP</w:t>
      </w:r>
      <w:r w:rsidR="000F3B66">
        <w:rPr>
          <w:rFonts w:cs="Arial"/>
          <w:szCs w:val="24"/>
        </w:rPr>
        <w:t>)</w:t>
      </w:r>
      <w:r w:rsidRPr="000F3B66">
        <w:rPr>
          <w:rFonts w:cs="Arial"/>
          <w:szCs w:val="24"/>
        </w:rPr>
        <w:t xml:space="preserve">. Wir wollen die Quote innerhalb von zehn Jahren von 81 Prozent (Ende 2012) auf weniger als 60 Prozent zurückführen. Bis Ende 2017 </w:t>
      </w:r>
      <w:r w:rsidR="006367B7" w:rsidRPr="000F3B66">
        <w:rPr>
          <w:rFonts w:cs="Arial"/>
          <w:szCs w:val="24"/>
        </w:rPr>
        <w:t>streben</w:t>
      </w:r>
      <w:r w:rsidRPr="000F3B66">
        <w:rPr>
          <w:rFonts w:cs="Arial"/>
          <w:szCs w:val="24"/>
        </w:rPr>
        <w:t xml:space="preserve"> wir eine Absenkung der Quote auf unter 70 Prozent des BIP</w:t>
      </w:r>
      <w:r w:rsidR="006367B7" w:rsidRPr="000F3B66">
        <w:rPr>
          <w:rFonts w:cs="Arial"/>
          <w:szCs w:val="24"/>
        </w:rPr>
        <w:t xml:space="preserve"> an.</w:t>
      </w:r>
    </w:p>
    <w:p w:rsidR="00EC2540" w:rsidRPr="000F3B66" w:rsidRDefault="00EC2540" w:rsidP="00686222">
      <w:pPr>
        <w:spacing w:line="240" w:lineRule="auto"/>
        <w:rPr>
          <w:rFonts w:cs="Arial"/>
          <w:szCs w:val="24"/>
        </w:rPr>
      </w:pPr>
    </w:p>
    <w:p w:rsidR="00EC2540" w:rsidRPr="000F3B66" w:rsidRDefault="006367B7" w:rsidP="00686222">
      <w:pPr>
        <w:spacing w:line="240" w:lineRule="auto"/>
        <w:rPr>
          <w:rFonts w:cs="Arial"/>
          <w:szCs w:val="24"/>
        </w:rPr>
      </w:pPr>
      <w:r w:rsidRPr="000F3B66">
        <w:rPr>
          <w:rFonts w:cs="Arial"/>
          <w:szCs w:val="24"/>
        </w:rPr>
        <w:t>Wir sind uns</w:t>
      </w:r>
      <w:r w:rsidR="00EC2540" w:rsidRPr="000F3B66">
        <w:rPr>
          <w:rFonts w:cs="Arial"/>
          <w:szCs w:val="24"/>
        </w:rPr>
        <w:t xml:space="preserve"> der Verantwortung bewusst, dass Deutschland durch eine solide und nachhaltige Finanz- und Haushaltspolitik seiner Rolle in Europa gerecht werden muss. Deutschland ist gefordert, mit einer stabilitäts- und wachstums</w:t>
      </w:r>
      <w:r w:rsidR="00EC2540" w:rsidRPr="000F3B66">
        <w:rPr>
          <w:rFonts w:cs="Arial"/>
          <w:szCs w:val="24"/>
        </w:rPr>
        <w:softHyphen/>
        <w:t>orientierten Haushalts- und Finanzpolitik auf allen staatlichen Ebenen einen Beitrag für die Stabilität der Euro-Zone zu leisten.</w:t>
      </w:r>
    </w:p>
    <w:p w:rsidR="00EC2540" w:rsidRPr="000F3B66" w:rsidRDefault="00EC2540" w:rsidP="00686222">
      <w:pPr>
        <w:spacing w:line="240" w:lineRule="auto"/>
        <w:rPr>
          <w:rFonts w:cs="Arial"/>
          <w:szCs w:val="24"/>
        </w:rPr>
      </w:pPr>
    </w:p>
    <w:p w:rsidR="00EC2540" w:rsidRPr="000F3B66" w:rsidRDefault="00EC2540" w:rsidP="00686222">
      <w:pPr>
        <w:spacing w:line="240" w:lineRule="auto"/>
        <w:rPr>
          <w:rFonts w:cs="Arial"/>
          <w:b/>
          <w:szCs w:val="24"/>
        </w:rPr>
      </w:pPr>
      <w:r w:rsidRPr="000F3B66">
        <w:rPr>
          <w:rFonts w:cs="Arial"/>
          <w:b/>
          <w:szCs w:val="24"/>
        </w:rPr>
        <w:t>Beitrag des Bundes zur gesamtstaatlichen Verantwortung</w:t>
      </w:r>
    </w:p>
    <w:p w:rsidR="00EC2540" w:rsidRPr="000F3B66" w:rsidRDefault="00EC2540" w:rsidP="00686222">
      <w:pPr>
        <w:spacing w:line="240" w:lineRule="auto"/>
        <w:rPr>
          <w:rFonts w:cs="Arial"/>
          <w:i/>
          <w:szCs w:val="24"/>
        </w:rPr>
      </w:pPr>
    </w:p>
    <w:p w:rsidR="00EC2540" w:rsidRPr="000F3B66" w:rsidRDefault="004F1E1C" w:rsidP="00686222">
      <w:pPr>
        <w:spacing w:line="240" w:lineRule="auto"/>
        <w:rPr>
          <w:rFonts w:cs="Arial"/>
          <w:szCs w:val="24"/>
        </w:rPr>
      </w:pPr>
      <w:r w:rsidRPr="000F3B66">
        <w:rPr>
          <w:rFonts w:cs="Arial"/>
          <w:szCs w:val="24"/>
        </w:rPr>
        <w:t>Im Jahr</w:t>
      </w:r>
      <w:r w:rsidR="00EC2540" w:rsidRPr="000F3B66">
        <w:rPr>
          <w:rFonts w:cs="Arial"/>
          <w:szCs w:val="24"/>
        </w:rPr>
        <w:t xml:space="preserve"> 2012 </w:t>
      </w:r>
      <w:r w:rsidRPr="000F3B66">
        <w:rPr>
          <w:rFonts w:cs="Arial"/>
          <w:szCs w:val="24"/>
        </w:rPr>
        <w:t>hat</w:t>
      </w:r>
      <w:r w:rsidR="00EC2540" w:rsidRPr="000F3B66">
        <w:rPr>
          <w:rFonts w:cs="Arial"/>
          <w:szCs w:val="24"/>
        </w:rPr>
        <w:t xml:space="preserve"> der Bundeshaushalt</w:t>
      </w:r>
      <w:r w:rsidRPr="000F3B66">
        <w:rPr>
          <w:rFonts w:cs="Arial"/>
          <w:szCs w:val="24"/>
        </w:rPr>
        <w:t xml:space="preserve"> mit einer</w:t>
      </w:r>
      <w:r w:rsidR="00EC2540" w:rsidRPr="000F3B66">
        <w:rPr>
          <w:rFonts w:cs="Arial"/>
          <w:szCs w:val="24"/>
        </w:rPr>
        <w:t xml:space="preserve"> strukturellen Neuverschuldung von </w:t>
      </w:r>
      <w:r w:rsidRPr="000F3B66">
        <w:rPr>
          <w:rFonts w:cs="Arial"/>
          <w:szCs w:val="24"/>
        </w:rPr>
        <w:t xml:space="preserve">weniger als </w:t>
      </w:r>
      <w:r w:rsidR="00EC2540" w:rsidRPr="000F3B66">
        <w:rPr>
          <w:rFonts w:cs="Arial"/>
          <w:szCs w:val="24"/>
        </w:rPr>
        <w:t>0,35 Prozent des BIP</w:t>
      </w:r>
      <w:r w:rsidRPr="000F3B66">
        <w:rPr>
          <w:rFonts w:cs="Arial"/>
          <w:szCs w:val="24"/>
        </w:rPr>
        <w:t xml:space="preserve"> abgeschlossen</w:t>
      </w:r>
      <w:r w:rsidR="00EC2540" w:rsidRPr="000F3B66">
        <w:rPr>
          <w:rFonts w:cs="Arial"/>
          <w:szCs w:val="24"/>
        </w:rPr>
        <w:t xml:space="preserve">. Hierbei wollen wir nicht stehen </w:t>
      </w:r>
      <w:r w:rsidR="00EC2540" w:rsidRPr="000F3B66">
        <w:rPr>
          <w:rFonts w:cs="Arial"/>
          <w:szCs w:val="24"/>
        </w:rPr>
        <w:lastRenderedPageBreak/>
        <w:t>bleiben.</w:t>
      </w:r>
      <w:r w:rsidR="00EC2540" w:rsidRPr="000F3B66">
        <w:rPr>
          <w:rFonts w:cs="Arial"/>
          <w:i/>
          <w:szCs w:val="24"/>
        </w:rPr>
        <w:t xml:space="preserve"> </w:t>
      </w:r>
      <w:r w:rsidR="00EC2540" w:rsidRPr="000F3B66">
        <w:rPr>
          <w:rFonts w:cs="Arial"/>
          <w:szCs w:val="24"/>
        </w:rPr>
        <w:t>Wir wollen nachhaltig ausgeglichene Haushal</w:t>
      </w:r>
      <w:r w:rsidR="00EC2540" w:rsidRPr="00B3461E">
        <w:rPr>
          <w:rFonts w:cs="Arial"/>
          <w:szCs w:val="24"/>
        </w:rPr>
        <w:t xml:space="preserve">te. </w:t>
      </w:r>
      <w:r w:rsidR="00B3461E" w:rsidRPr="00B3461E">
        <w:rPr>
          <w:rFonts w:cs="Arial"/>
          <w:szCs w:val="24"/>
        </w:rPr>
        <w:t>Wir werden Einnahmen und Ausgaben des Bundes so gestalten, dass der Bund a</w:t>
      </w:r>
      <w:r w:rsidR="00EC2540" w:rsidRPr="00B3461E">
        <w:rPr>
          <w:rFonts w:cs="Arial"/>
          <w:szCs w:val="24"/>
        </w:rPr>
        <w:t xml:space="preserve">b dem Jahr 2014 einen strukturell ausgeglichenen Haushalt </w:t>
      </w:r>
      <w:r w:rsidR="00B3461E" w:rsidRPr="00B3461E">
        <w:rPr>
          <w:rFonts w:cs="Arial"/>
          <w:szCs w:val="24"/>
        </w:rPr>
        <w:t>und b</w:t>
      </w:r>
      <w:r w:rsidR="00EC2540" w:rsidRPr="00B3461E">
        <w:rPr>
          <w:rFonts w:cs="Arial"/>
          <w:szCs w:val="24"/>
        </w:rPr>
        <w:t xml:space="preserve">eginnend mit dem Jahr 2015 </w:t>
      </w:r>
      <w:r w:rsidR="00B3461E" w:rsidRPr="00B3461E">
        <w:rPr>
          <w:rFonts w:cs="Arial"/>
          <w:szCs w:val="24"/>
        </w:rPr>
        <w:t xml:space="preserve">einen </w:t>
      </w:r>
      <w:r w:rsidR="00601C0B">
        <w:rPr>
          <w:rFonts w:cs="Arial"/>
          <w:szCs w:val="24"/>
        </w:rPr>
        <w:t>H</w:t>
      </w:r>
      <w:r w:rsidR="00EC2540" w:rsidRPr="00B3461E">
        <w:rPr>
          <w:rFonts w:cs="Arial"/>
          <w:szCs w:val="24"/>
        </w:rPr>
        <w:t>aushalt ohne Net</w:t>
      </w:r>
      <w:r w:rsidR="00B3461E" w:rsidRPr="00B3461E">
        <w:rPr>
          <w:rFonts w:cs="Arial"/>
          <w:szCs w:val="24"/>
        </w:rPr>
        <w:t>toneuverschuldung auf</w:t>
      </w:r>
      <w:r w:rsidR="00650BD6" w:rsidRPr="00B3461E">
        <w:rPr>
          <w:rFonts w:cs="Arial"/>
          <w:szCs w:val="24"/>
        </w:rPr>
        <w:t>stell</w:t>
      </w:r>
      <w:r w:rsidR="00B3461E" w:rsidRPr="00B3461E">
        <w:rPr>
          <w:rFonts w:cs="Arial"/>
          <w:szCs w:val="24"/>
        </w:rPr>
        <w:t>t</w:t>
      </w:r>
      <w:r w:rsidR="00650BD6" w:rsidRPr="00B3461E">
        <w:rPr>
          <w:rFonts w:cs="Arial"/>
          <w:szCs w:val="24"/>
        </w:rPr>
        <w:t>.</w:t>
      </w:r>
    </w:p>
    <w:p w:rsidR="00EC2540" w:rsidRPr="000F3B66" w:rsidRDefault="00EC2540" w:rsidP="00686222">
      <w:pPr>
        <w:spacing w:line="240" w:lineRule="auto"/>
        <w:rPr>
          <w:rFonts w:cs="Arial"/>
          <w:i/>
          <w:szCs w:val="24"/>
        </w:rPr>
      </w:pPr>
    </w:p>
    <w:p w:rsidR="00EC2540" w:rsidRPr="000F3B66" w:rsidRDefault="00EC2540" w:rsidP="00686222">
      <w:pPr>
        <w:spacing w:line="240" w:lineRule="auto"/>
        <w:rPr>
          <w:rFonts w:cs="Arial"/>
          <w:szCs w:val="24"/>
        </w:rPr>
      </w:pPr>
      <w:r w:rsidRPr="000F3B66">
        <w:rPr>
          <w:rFonts w:cs="Arial"/>
          <w:szCs w:val="24"/>
        </w:rPr>
        <w:t>Politische Zielsetzungen haben sich an qualitativen und nicht an quantitativen Anforderungen zu orientieren. Zur Effizienzsteigerung der Ausgaben sind angemessene Wirtschaftlichkeitsuntersuchungen für alle finanzwirksamen Maßnahmen durchzuführen und Ausgaben auf ihre Notwendigkeit zu überprüfen.</w:t>
      </w:r>
    </w:p>
    <w:p w:rsidR="00373ADD" w:rsidRPr="000F3B66" w:rsidRDefault="00373ADD" w:rsidP="00686222">
      <w:pPr>
        <w:spacing w:line="240" w:lineRule="auto"/>
        <w:rPr>
          <w:rFonts w:cs="Arial"/>
          <w:szCs w:val="24"/>
        </w:rPr>
      </w:pPr>
    </w:p>
    <w:p w:rsidR="00EC2540" w:rsidRPr="000F3B66" w:rsidRDefault="00EC2540" w:rsidP="00686222">
      <w:pPr>
        <w:spacing w:line="240" w:lineRule="auto"/>
        <w:rPr>
          <w:rFonts w:cs="Arial"/>
          <w:szCs w:val="24"/>
        </w:rPr>
      </w:pPr>
      <w:r w:rsidRPr="000F3B66">
        <w:rPr>
          <w:rFonts w:cs="Arial"/>
          <w:szCs w:val="24"/>
        </w:rPr>
        <w:t>Das Top-Down-Verfahren bei der Haushaltsaufstellung hat sich bewährt. Es wird um eine eingehende einnahme- und ausgabeseitige Haushaltsanalyse im Vorfeld des Eckwerte</w:t>
      </w:r>
      <w:r w:rsidRPr="000F3B66">
        <w:rPr>
          <w:rFonts w:cs="Arial"/>
          <w:szCs w:val="24"/>
        </w:rPr>
        <w:softHyphen/>
        <w:t xml:space="preserve">beschlusses zu einzelnen jeweils vorher ausgewählten Politikbereichen ergänzt. Damit wird das regierungsinterne Aufstellungsverfahren </w:t>
      </w:r>
      <w:r w:rsidR="001E075E">
        <w:rPr>
          <w:rFonts w:cs="Arial"/>
          <w:szCs w:val="24"/>
        </w:rPr>
        <w:t xml:space="preserve">stärker </w:t>
      </w:r>
      <w:r w:rsidR="0059267C" w:rsidRPr="000F3B66">
        <w:rPr>
          <w:rFonts w:cs="Arial"/>
          <w:szCs w:val="24"/>
        </w:rPr>
        <w:t>inhaltlich</w:t>
      </w:r>
      <w:r w:rsidRPr="000F3B66">
        <w:rPr>
          <w:rFonts w:cs="Arial"/>
          <w:szCs w:val="24"/>
        </w:rPr>
        <w:t xml:space="preserve"> </w:t>
      </w:r>
      <w:r w:rsidR="0059267C" w:rsidRPr="000F3B66">
        <w:rPr>
          <w:rFonts w:cs="Arial"/>
          <w:szCs w:val="24"/>
        </w:rPr>
        <w:t>ausgerichtet</w:t>
      </w:r>
      <w:r w:rsidRPr="000F3B66">
        <w:rPr>
          <w:rFonts w:cs="Arial"/>
          <w:szCs w:val="24"/>
        </w:rPr>
        <w:t xml:space="preserve"> und die Wi</w:t>
      </w:r>
      <w:r w:rsidR="001E075E">
        <w:rPr>
          <w:rFonts w:cs="Arial"/>
          <w:szCs w:val="24"/>
        </w:rPr>
        <w:t>rkungsorientierung</w:t>
      </w:r>
      <w:r w:rsidRPr="000F3B66">
        <w:rPr>
          <w:rFonts w:cs="Arial"/>
          <w:szCs w:val="24"/>
        </w:rPr>
        <w:t xml:space="preserve"> des Haushalts </w:t>
      </w:r>
      <w:r w:rsidR="0059267C" w:rsidRPr="000F3B66">
        <w:rPr>
          <w:rFonts w:cs="Arial"/>
          <w:szCs w:val="24"/>
        </w:rPr>
        <w:t>verbessert</w:t>
      </w:r>
      <w:r w:rsidRPr="000F3B66">
        <w:rPr>
          <w:rFonts w:cs="Arial"/>
          <w:szCs w:val="24"/>
        </w:rPr>
        <w:t>.</w:t>
      </w:r>
    </w:p>
    <w:p w:rsidR="00373ADD" w:rsidRPr="000F3B66" w:rsidRDefault="00373ADD" w:rsidP="00686222">
      <w:pPr>
        <w:spacing w:line="240" w:lineRule="auto"/>
        <w:rPr>
          <w:rFonts w:cs="Arial"/>
          <w:szCs w:val="24"/>
        </w:rPr>
      </w:pPr>
    </w:p>
    <w:p w:rsidR="00EC2540" w:rsidRPr="000F3B66" w:rsidRDefault="00EC2540" w:rsidP="00686222">
      <w:pPr>
        <w:spacing w:line="240" w:lineRule="auto"/>
        <w:rPr>
          <w:rFonts w:cs="Arial"/>
          <w:szCs w:val="24"/>
        </w:rPr>
      </w:pPr>
      <w:r w:rsidRPr="000F3B66">
        <w:rPr>
          <w:rFonts w:cs="Arial"/>
          <w:szCs w:val="24"/>
        </w:rPr>
        <w:t>Folgende wichtige haushaltspolitische Grundsätze werden uns leiten:</w:t>
      </w:r>
    </w:p>
    <w:p w:rsidR="00373ADD" w:rsidRPr="000F3B66" w:rsidRDefault="00373ADD" w:rsidP="00686222">
      <w:pPr>
        <w:spacing w:line="240" w:lineRule="auto"/>
        <w:rPr>
          <w:rFonts w:cs="Arial"/>
          <w:szCs w:val="24"/>
        </w:rPr>
      </w:pPr>
    </w:p>
    <w:p w:rsidR="00EC2540" w:rsidRPr="000F3B66" w:rsidRDefault="00EC2540" w:rsidP="00686222">
      <w:pPr>
        <w:numPr>
          <w:ilvl w:val="0"/>
          <w:numId w:val="2"/>
        </w:numPr>
        <w:spacing w:line="240" w:lineRule="auto"/>
        <w:rPr>
          <w:rFonts w:cs="Arial"/>
          <w:szCs w:val="24"/>
        </w:rPr>
      </w:pPr>
      <w:r w:rsidRPr="000F3B66">
        <w:rPr>
          <w:rFonts w:cs="Arial"/>
          <w:szCs w:val="24"/>
        </w:rPr>
        <w:t>Über die Legislaturperiode gerechnet soll das Wachstum der Ausgaben das Wachstum des Bruttoinlandsproduk</w:t>
      </w:r>
      <w:r w:rsidRPr="001E075E">
        <w:rPr>
          <w:rFonts w:cs="Arial"/>
          <w:szCs w:val="24"/>
        </w:rPr>
        <w:t xml:space="preserve">ts </w:t>
      </w:r>
      <w:r w:rsidR="001E075E" w:rsidRPr="001E075E">
        <w:rPr>
          <w:rFonts w:cs="Arial"/>
          <w:szCs w:val="24"/>
        </w:rPr>
        <w:t>möglichst</w:t>
      </w:r>
      <w:r w:rsidRPr="001E075E">
        <w:rPr>
          <w:rFonts w:cs="Arial"/>
          <w:szCs w:val="24"/>
        </w:rPr>
        <w:t xml:space="preserve"> nicht</w:t>
      </w:r>
      <w:r w:rsidRPr="000F3B66">
        <w:rPr>
          <w:rFonts w:cs="Arial"/>
          <w:szCs w:val="24"/>
        </w:rPr>
        <w:t xml:space="preserve"> übersteigen.</w:t>
      </w:r>
    </w:p>
    <w:p w:rsidR="00373ADD" w:rsidRPr="000F3B66" w:rsidRDefault="00373ADD" w:rsidP="00686222">
      <w:pPr>
        <w:spacing w:line="240" w:lineRule="auto"/>
        <w:ind w:left="360"/>
        <w:rPr>
          <w:rFonts w:cs="Arial"/>
          <w:szCs w:val="24"/>
        </w:rPr>
      </w:pPr>
    </w:p>
    <w:p w:rsidR="00EC2540" w:rsidRPr="000F3B66" w:rsidRDefault="00EC2540" w:rsidP="00686222">
      <w:pPr>
        <w:numPr>
          <w:ilvl w:val="0"/>
          <w:numId w:val="2"/>
        </w:numPr>
        <w:spacing w:line="240" w:lineRule="auto"/>
        <w:rPr>
          <w:rFonts w:cs="Arial"/>
          <w:szCs w:val="24"/>
        </w:rPr>
      </w:pPr>
      <w:r w:rsidRPr="000F3B66">
        <w:rPr>
          <w:rFonts w:cs="Arial"/>
          <w:szCs w:val="24"/>
        </w:rPr>
        <w:t xml:space="preserve">Finanzwirksame Vorhaben und Belastungen auf der Einnahmen- und auf der Ausgabenseite müssen in ihren Wirkungen umfassend ausgewiesen werden. </w:t>
      </w:r>
    </w:p>
    <w:p w:rsidR="00373ADD" w:rsidRPr="000F3B66" w:rsidRDefault="00373ADD" w:rsidP="00686222">
      <w:pPr>
        <w:spacing w:line="240" w:lineRule="auto"/>
        <w:ind w:left="360"/>
        <w:rPr>
          <w:rFonts w:cs="Arial"/>
          <w:szCs w:val="24"/>
        </w:rPr>
      </w:pPr>
    </w:p>
    <w:p w:rsidR="00373ADD" w:rsidRPr="000F3B66" w:rsidRDefault="00EC2540" w:rsidP="00077459">
      <w:pPr>
        <w:numPr>
          <w:ilvl w:val="0"/>
          <w:numId w:val="2"/>
        </w:numPr>
        <w:spacing w:line="240" w:lineRule="auto"/>
        <w:rPr>
          <w:rFonts w:cs="Arial"/>
          <w:szCs w:val="24"/>
        </w:rPr>
      </w:pPr>
      <w:r w:rsidRPr="000F3B66">
        <w:rPr>
          <w:rFonts w:cs="Arial"/>
          <w:szCs w:val="24"/>
        </w:rPr>
        <w:t xml:space="preserve">Die </w:t>
      </w:r>
      <w:r w:rsidR="001E075E">
        <w:rPr>
          <w:rFonts w:cs="Arial"/>
          <w:szCs w:val="24"/>
        </w:rPr>
        <w:t xml:space="preserve">in diesem Koalitionsvertrag </w:t>
      </w:r>
      <w:r w:rsidRPr="000F3B66">
        <w:rPr>
          <w:rFonts w:cs="Arial"/>
          <w:szCs w:val="24"/>
        </w:rPr>
        <w:t>unter</w:t>
      </w:r>
      <w:r w:rsidR="00044578" w:rsidRPr="000F3B66">
        <w:rPr>
          <w:rFonts w:cs="Arial"/>
          <w:szCs w:val="24"/>
        </w:rPr>
        <w:t xml:space="preserve"> „Prioritäre Maßnahmen“ genannten Vorhaben</w:t>
      </w:r>
      <w:r w:rsidRPr="000F3B66">
        <w:rPr>
          <w:rFonts w:cs="Arial"/>
          <w:szCs w:val="24"/>
        </w:rPr>
        <w:t xml:space="preserve"> </w:t>
      </w:r>
      <w:r w:rsidR="00044578" w:rsidRPr="000F3B66">
        <w:rPr>
          <w:rFonts w:cs="Arial"/>
          <w:szCs w:val="24"/>
        </w:rPr>
        <w:t xml:space="preserve">werden wir auf </w:t>
      </w:r>
      <w:r w:rsidRPr="000F3B66">
        <w:rPr>
          <w:rFonts w:cs="Arial"/>
          <w:szCs w:val="24"/>
        </w:rPr>
        <w:t xml:space="preserve">jeden Fall umsetzen. </w:t>
      </w:r>
      <w:r w:rsidR="001E075E">
        <w:rPr>
          <w:rFonts w:cs="Arial"/>
          <w:szCs w:val="24"/>
        </w:rPr>
        <w:t>Im Übrigen gilt der Grundsatz</w:t>
      </w:r>
      <w:r w:rsidR="00077459" w:rsidRPr="000F3B66">
        <w:rPr>
          <w:rFonts w:cs="Arial"/>
          <w:szCs w:val="24"/>
        </w:rPr>
        <w:t xml:space="preserve"> einer unmittelbaren, vollständigen und dauerhaften Gegenfinanzierung im gleichen Politikbereich.</w:t>
      </w:r>
    </w:p>
    <w:p w:rsidR="00077459" w:rsidRPr="000F3B66" w:rsidRDefault="00077459" w:rsidP="00077459">
      <w:pPr>
        <w:spacing w:line="240" w:lineRule="auto"/>
        <w:rPr>
          <w:rFonts w:cs="Arial"/>
          <w:i/>
          <w:szCs w:val="24"/>
        </w:rPr>
      </w:pPr>
    </w:p>
    <w:p w:rsidR="00373ADD" w:rsidRPr="000F3B66" w:rsidRDefault="00D502BE" w:rsidP="00D502BE">
      <w:pPr>
        <w:numPr>
          <w:ilvl w:val="0"/>
          <w:numId w:val="2"/>
        </w:numPr>
        <w:spacing w:line="240" w:lineRule="auto"/>
        <w:rPr>
          <w:rFonts w:cs="Arial"/>
          <w:szCs w:val="24"/>
        </w:rPr>
      </w:pPr>
      <w:r w:rsidRPr="000F3B66">
        <w:rPr>
          <w:rFonts w:cs="Arial"/>
          <w:szCs w:val="24"/>
        </w:rPr>
        <w:t>Wir werden alle Subventionen – neue und alte – gemäß den subventionspolitischen Leitlinien einer stetigen Überprüfung unterziehen. Nicht</w:t>
      </w:r>
      <w:r w:rsidR="00EC2540" w:rsidRPr="000F3B66">
        <w:rPr>
          <w:rFonts w:cs="Arial"/>
          <w:szCs w:val="24"/>
        </w:rPr>
        <w:t xml:space="preserve"> mehr notwendige </w:t>
      </w:r>
      <w:r w:rsidRPr="000F3B66">
        <w:rPr>
          <w:rFonts w:cs="Arial"/>
          <w:szCs w:val="24"/>
        </w:rPr>
        <w:t>bzw.</w:t>
      </w:r>
      <w:r w:rsidR="00EC2540" w:rsidRPr="000F3B66">
        <w:rPr>
          <w:rFonts w:cs="Arial"/>
          <w:szCs w:val="24"/>
        </w:rPr>
        <w:t xml:space="preserve"> nicht mehr finanzierbare Subventionstatbestände </w:t>
      </w:r>
      <w:r w:rsidRPr="000F3B66">
        <w:rPr>
          <w:rFonts w:cs="Arial"/>
          <w:szCs w:val="24"/>
        </w:rPr>
        <w:t xml:space="preserve">werden wir </w:t>
      </w:r>
      <w:r w:rsidR="00EC2540" w:rsidRPr="000F3B66">
        <w:rPr>
          <w:rFonts w:cs="Arial"/>
          <w:szCs w:val="24"/>
        </w:rPr>
        <w:t>abbauen</w:t>
      </w:r>
      <w:r w:rsidRPr="000F3B66">
        <w:rPr>
          <w:rFonts w:cs="Arial"/>
          <w:szCs w:val="24"/>
        </w:rPr>
        <w:t>.</w:t>
      </w:r>
    </w:p>
    <w:p w:rsidR="00D502BE" w:rsidRPr="000F3B66" w:rsidRDefault="00D502BE" w:rsidP="00D502BE">
      <w:pPr>
        <w:spacing w:line="240" w:lineRule="auto"/>
        <w:rPr>
          <w:rFonts w:cs="Arial"/>
          <w:szCs w:val="24"/>
        </w:rPr>
      </w:pPr>
    </w:p>
    <w:p w:rsidR="00EC2540" w:rsidRPr="000F3B66" w:rsidRDefault="00D502BE" w:rsidP="00686222">
      <w:pPr>
        <w:numPr>
          <w:ilvl w:val="0"/>
          <w:numId w:val="2"/>
        </w:numPr>
        <w:spacing w:line="240" w:lineRule="auto"/>
        <w:rPr>
          <w:rFonts w:cs="Arial"/>
          <w:b/>
          <w:szCs w:val="24"/>
        </w:rPr>
      </w:pPr>
      <w:r w:rsidRPr="000F3B66">
        <w:rPr>
          <w:rFonts w:cs="Arial"/>
          <w:szCs w:val="24"/>
        </w:rPr>
        <w:t xml:space="preserve">Wir wollen die Investitionsorientierung des Bundeshaushalts stärken. </w:t>
      </w:r>
    </w:p>
    <w:p w:rsidR="00D502BE" w:rsidRPr="000F3B66" w:rsidRDefault="00D502BE" w:rsidP="00D502BE">
      <w:pPr>
        <w:spacing w:line="240" w:lineRule="auto"/>
        <w:rPr>
          <w:rFonts w:cs="Arial"/>
          <w:b/>
          <w:szCs w:val="24"/>
        </w:rPr>
      </w:pPr>
    </w:p>
    <w:p w:rsidR="00EC2540" w:rsidRPr="000F3B66" w:rsidRDefault="00EC2540" w:rsidP="00686222">
      <w:pPr>
        <w:spacing w:line="240" w:lineRule="auto"/>
        <w:rPr>
          <w:rFonts w:cs="Arial"/>
          <w:b/>
          <w:szCs w:val="24"/>
        </w:rPr>
      </w:pPr>
      <w:r w:rsidRPr="000F3B66">
        <w:rPr>
          <w:rFonts w:cs="Arial"/>
          <w:b/>
          <w:szCs w:val="24"/>
        </w:rPr>
        <w:t>Prioritäre Maßnahmen</w:t>
      </w:r>
    </w:p>
    <w:p w:rsidR="00EC2540" w:rsidRPr="000F3B66" w:rsidRDefault="00EC2540" w:rsidP="00686222">
      <w:pPr>
        <w:spacing w:line="240" w:lineRule="auto"/>
        <w:rPr>
          <w:rFonts w:cs="Arial"/>
          <w:szCs w:val="24"/>
        </w:rPr>
      </w:pPr>
    </w:p>
    <w:p w:rsidR="00EC2540" w:rsidRPr="000F3B66" w:rsidRDefault="00EC2540" w:rsidP="001E075E">
      <w:pPr>
        <w:spacing w:line="240" w:lineRule="auto"/>
        <w:rPr>
          <w:rFonts w:cs="Arial"/>
          <w:szCs w:val="24"/>
        </w:rPr>
      </w:pPr>
      <w:r w:rsidRPr="000F3B66">
        <w:rPr>
          <w:rFonts w:cs="Arial"/>
          <w:szCs w:val="24"/>
        </w:rPr>
        <w:t>[</w:t>
      </w:r>
      <w:r w:rsidR="001E075E">
        <w:rPr>
          <w:rFonts w:cs="Arial"/>
          <w:szCs w:val="24"/>
        </w:rPr>
        <w:t>…</w:t>
      </w:r>
      <w:r w:rsidRPr="000F3B66">
        <w:rPr>
          <w:rFonts w:cs="Arial"/>
          <w:szCs w:val="24"/>
        </w:rPr>
        <w:t>]</w:t>
      </w:r>
    </w:p>
    <w:p w:rsidR="00287EAD" w:rsidRPr="000F3B66" w:rsidRDefault="00287EAD" w:rsidP="00686222">
      <w:pPr>
        <w:spacing w:line="240" w:lineRule="auto"/>
        <w:rPr>
          <w:rFonts w:cs="Arial"/>
          <w:szCs w:val="24"/>
        </w:rPr>
      </w:pPr>
    </w:p>
    <w:p w:rsidR="00287EAD" w:rsidRPr="000F3B66" w:rsidRDefault="00287EAD" w:rsidP="00686222">
      <w:pPr>
        <w:spacing w:line="240" w:lineRule="auto"/>
        <w:rPr>
          <w:rFonts w:cs="Arial"/>
          <w:szCs w:val="24"/>
        </w:rPr>
      </w:pPr>
    </w:p>
    <w:p w:rsidR="00FB5F69" w:rsidRPr="000F3B66" w:rsidRDefault="00287EAD" w:rsidP="00686222">
      <w:pPr>
        <w:spacing w:line="240" w:lineRule="auto"/>
        <w:rPr>
          <w:rFonts w:cs="Arial"/>
          <w:b/>
          <w:sz w:val="28"/>
          <w:szCs w:val="24"/>
        </w:rPr>
      </w:pPr>
      <w:r w:rsidRPr="000F3B66">
        <w:rPr>
          <w:rFonts w:cs="Arial"/>
          <w:b/>
          <w:sz w:val="28"/>
          <w:szCs w:val="24"/>
        </w:rPr>
        <w:t xml:space="preserve">Verlässliche </w:t>
      </w:r>
      <w:r w:rsidR="00FB5F69" w:rsidRPr="000F3B66">
        <w:rPr>
          <w:rFonts w:cs="Arial"/>
          <w:b/>
          <w:sz w:val="28"/>
          <w:szCs w:val="24"/>
        </w:rPr>
        <w:t>Steuer</w:t>
      </w:r>
      <w:r w:rsidRPr="000F3B66">
        <w:rPr>
          <w:rFonts w:cs="Arial"/>
          <w:b/>
          <w:sz w:val="28"/>
          <w:szCs w:val="24"/>
        </w:rPr>
        <w:t>politik</w:t>
      </w:r>
    </w:p>
    <w:p w:rsidR="00FB5F69" w:rsidRPr="000F3B66" w:rsidRDefault="00FB5F69" w:rsidP="00686222">
      <w:pPr>
        <w:spacing w:line="240" w:lineRule="auto"/>
        <w:rPr>
          <w:rFonts w:cs="Arial"/>
          <w:szCs w:val="24"/>
        </w:rPr>
      </w:pPr>
    </w:p>
    <w:p w:rsidR="00EC2540" w:rsidRPr="000F3B66" w:rsidRDefault="00EC2540" w:rsidP="00686222">
      <w:pPr>
        <w:spacing w:line="240" w:lineRule="auto"/>
        <w:rPr>
          <w:rFonts w:cs="Arial"/>
          <w:szCs w:val="24"/>
        </w:rPr>
      </w:pPr>
      <w:r w:rsidRPr="000F3B66">
        <w:rPr>
          <w:rFonts w:cs="Arial"/>
          <w:szCs w:val="24"/>
        </w:rPr>
        <w:t xml:space="preserve">Unser Gemeinwesen ist auf verlässliche Steuereinnahmen angewiesen. Der dafür erforderliche gesellschaftliche Konsens beruht auf einem gerechten Steuerrecht, das die Besteuerung nach der Leistungsfähigkeit in den Mittelpunkt stellt und zugleich gewährleistet, dass sich niemand auf Kosten der Allgemeinheit seiner Steuerpflicht entziehen kann. Das Steuerrecht muss in seiner konkreten Ausgestaltung den Anforderungen und Ausprägungen unserer modernen Gesellschaft in einer globalisierten Welt gerecht werden. Es muss günstige Rahmenbedingungen für Innovationen und Investitionen der Unternehmen in Deutschland bieten, um </w:t>
      </w:r>
      <w:r w:rsidRPr="000F3B66">
        <w:rPr>
          <w:rFonts w:cs="Arial"/>
          <w:szCs w:val="24"/>
        </w:rPr>
        <w:lastRenderedPageBreak/>
        <w:t>Arbeitsplätze und Wohlstand zu erhalten und weiter auszubauen. Steuerrecht ist kein statisches Recht. Wenn gesellschaftliche oder wirtschaftliche Entwicklungen es erfordern, muss das Steuerrecht angemessen fortentwickelt werden, damit es seine Ziele auch künftig erreicht. Deutschland hat derzeit insgesamt ein zeitgemäßes und wettbewerbsfähiges Steuerrecht. Wir wollen das Steuerrecht in einer sich verändernden Welt kontinuierlich fortentwickeln, zugleich aber eine hohe Planungssicherheit für die Steuerzahler wie für die öffentliche Hand erreichen.</w:t>
      </w:r>
    </w:p>
    <w:p w:rsidR="00EC2540" w:rsidRPr="000F3B66" w:rsidRDefault="00EC2540" w:rsidP="00686222">
      <w:pPr>
        <w:spacing w:line="240" w:lineRule="auto"/>
        <w:rPr>
          <w:rFonts w:cs="Arial"/>
          <w:b/>
          <w:szCs w:val="24"/>
        </w:rPr>
      </w:pPr>
    </w:p>
    <w:p w:rsidR="00FB5F69" w:rsidRPr="000F3B66" w:rsidRDefault="00FB5F69" w:rsidP="00686222">
      <w:pPr>
        <w:spacing w:line="240" w:lineRule="auto"/>
        <w:rPr>
          <w:rFonts w:cs="Arial"/>
          <w:b/>
          <w:szCs w:val="24"/>
        </w:rPr>
      </w:pPr>
      <w:r w:rsidRPr="000F3B66">
        <w:rPr>
          <w:rFonts w:cs="Arial"/>
          <w:b/>
          <w:szCs w:val="24"/>
        </w:rPr>
        <w:t>Steuervereinfachung / Modernisierung Steuerliches Verfahrensrecht / Steuerorganisation</w:t>
      </w:r>
    </w:p>
    <w:p w:rsidR="00FB5F69" w:rsidRPr="000F3B66" w:rsidRDefault="00FB5F69" w:rsidP="00686222">
      <w:pPr>
        <w:spacing w:line="240" w:lineRule="auto"/>
        <w:rPr>
          <w:rFonts w:cs="Arial"/>
          <w:b/>
          <w:szCs w:val="24"/>
        </w:rPr>
      </w:pPr>
    </w:p>
    <w:p w:rsidR="00FB5F69" w:rsidRPr="000F3B66" w:rsidRDefault="00FB5F69" w:rsidP="00686222">
      <w:pPr>
        <w:spacing w:line="240" w:lineRule="auto"/>
        <w:rPr>
          <w:rFonts w:cs="Arial"/>
          <w:szCs w:val="24"/>
        </w:rPr>
      </w:pPr>
      <w:r w:rsidRPr="000F3B66">
        <w:rPr>
          <w:rFonts w:cs="Arial"/>
          <w:szCs w:val="24"/>
        </w:rPr>
        <w:t>Steuervereinfachung ist eine Daueraufgabe. Es ist ein wichtiges politisches Ziel, hier Schritt für Schritt voranzukommen und dabei insbesondere auch die technischen Möglichkeiten der modernen Datenverarbeitung zu nutzen. Von diesem dauerhaften Prozess profitieren alle an der Besteuerung beteiligten Gruppen: die Steuerzahler, die Verwaltung und die steuerberatenden Berufe.</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 xml:space="preserve">Wir werden eine vorausgefüllte Steuererklärung für alle Steuerpflichtigen bis zum Veranlagungszeitraum 2017 einführen. Für Rentner und Pensionäre ohne weitere Einkünfte soll die vorausgefüllte Steuererklärung mit den bei den Finanzbehörden geführten Daten bereits ab dem Veranlagungszeitraum 2015 ermöglicht werden. </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 xml:space="preserve">Wir werden das Angebot an die Bürger für eine elektronische Kommunikation mit der Finanzverwaltung ausbauen und auf eine verpflichtende Übersendung von Papierbelegen mit der Steuererklärung weitgehend verzichten. Zur Sicherung einer gleichmäßigen Steuererhebung werden wir risikoorientierte Parameter der Bearbeitung von Steuererklärungen zugrunde legen. </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Wir wollen die Akzeptanz des Faktorverfahrens für Ehegatten stärken. Der Faktor soll künftig nicht mehr jährlich, sondern für mehrere Jahre festgelegt werden. Eine Änderung des Faktors wird nur dann noch vorgenommen, wenn sich die Einkünfte bzw. die Einkünfteverteilung in nicht nur geringem Ausmaß änder</w:t>
      </w:r>
      <w:r w:rsidR="00B53E4F" w:rsidRPr="000F3B66">
        <w:rPr>
          <w:rFonts w:cs="Arial"/>
          <w:szCs w:val="24"/>
        </w:rPr>
        <w:t>n</w:t>
      </w:r>
      <w:r w:rsidRPr="000F3B66">
        <w:rPr>
          <w:rFonts w:cs="Arial"/>
          <w:szCs w:val="24"/>
        </w:rPr>
        <w:t>. Zudem fordern wir die Länder auf, das Faktorverfahren in Steuerklasse IV durch geeignete Maßnahmen der Steuerve</w:t>
      </w:r>
      <w:r w:rsidR="0090601B" w:rsidRPr="000F3B66">
        <w:rPr>
          <w:rFonts w:cs="Arial"/>
          <w:szCs w:val="24"/>
        </w:rPr>
        <w:t>rwaltungen bekannter zu machen.</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 xml:space="preserve">Auch streben wir eine Weiterentwicklung des Steuerverfahrensrechts in Richtung eines Selbstveranlagungsverfahrens beginnend mit der </w:t>
      </w:r>
      <w:r w:rsidR="001E075E">
        <w:rPr>
          <w:rFonts w:cs="Arial"/>
          <w:szCs w:val="24"/>
        </w:rPr>
        <w:t>Körperschaftsteuer</w:t>
      </w:r>
      <w:r w:rsidRPr="000F3B66">
        <w:rPr>
          <w:rFonts w:cs="Arial"/>
          <w:szCs w:val="24"/>
        </w:rPr>
        <w:t xml:space="preserve"> an. </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 xml:space="preserve">Wir werden die Rolle des Bundeszentralamtes für Steuern (BZSt) mit entsprechender Ausstattung unter Wahrung der Kompetenzen der Länder stärken. Das BZSt wird zur zentralen Anlaufstelle der Steuerfahndungsstellen der Länder weiterentwickelt, um die Steuerfahndungen der Länder besser zu unterstützen. Zusätzlich soll das BZSt zur zentralen Anlaufstelle für steuerliche Fragen bzw. verbindliche Auskünfte von Gebietsfremden werden. </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 xml:space="preserve">Wir werden zur Verbesserung der Bekämpfung der Steuerhinterziehung, des Sozialversicherungsbetrugs, der Schwarzarbeit und der illegalen Beschäftigung die rechtlichen Rahmenbedingungen u.a. im Schwarzarbeitsbekämpfungsgesetz und in der Gewerbeordnung sowie die personelle und informationstechnologische Ausstattung der Finanzkontrolle Schwarzarbeit verbessern und wirkungsvoller ausgestalten. </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Auch bei der Abgabenerhebung beim grenzüberschreitenden Warenverkehr sollen die Rahmenbedingungen für eine Stärkung IT-gestützter Risikoanalysen verbessert werden, um die Belastungen für Reisende zu reduzieren und die Kontrollen effizienter und zielgerichteter ausführen zu können.</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Wir werden die Familienkassen des Bundes bei der Bundesagentur für Arbeit konzentrieren. Wir laden die Länder ein, im Rahmen ihrer Zuständigkeiten an einer Zentralisierung mitzuwirken.</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Wir werden den Ausbau der steuerlichen IT gemeinsam mit den Ländern vorantreiben.</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Wir werden die Anwendung von sog. Nichtanwendungserlassen restriktiv handhaben. Eine Rückwirkung von Steuergesetzen soll im verfassungsrechtlichen Rahmen auf die Sicherung von Steuersubstrat und die Verhinderung der missbräuchlichen Nutzung von Steuersparmodellen beschränkt sein.</w:t>
      </w:r>
    </w:p>
    <w:p w:rsidR="00FB5F69" w:rsidRPr="000F3B66" w:rsidRDefault="00FB5F69" w:rsidP="00686222">
      <w:pPr>
        <w:spacing w:line="240" w:lineRule="auto"/>
        <w:rPr>
          <w:rFonts w:cs="Arial"/>
          <w:szCs w:val="24"/>
        </w:rPr>
      </w:pPr>
      <w:r w:rsidRPr="000F3B66">
        <w:rPr>
          <w:rFonts w:cs="Arial"/>
          <w:szCs w:val="24"/>
        </w:rPr>
        <w:t xml:space="preserve">  </w:t>
      </w:r>
    </w:p>
    <w:p w:rsidR="00FB5F69" w:rsidRPr="000F3B66" w:rsidRDefault="00FB5F69" w:rsidP="00686222">
      <w:pPr>
        <w:spacing w:line="240" w:lineRule="auto"/>
        <w:rPr>
          <w:rFonts w:cs="Arial"/>
          <w:szCs w:val="24"/>
        </w:rPr>
      </w:pPr>
      <w:r w:rsidRPr="000F3B66">
        <w:rPr>
          <w:rFonts w:cs="Arial"/>
          <w:szCs w:val="24"/>
        </w:rPr>
        <w:t>Die interkommunale Zusammenarbeit soll steuerrechtlich nicht behindert werden. Wir lehnen daher eine umsatzsteuerliche Belastung kommunaler Beistandsleistungen ab und werden uns - soweit erforderlich - EU-rechtlich für eine umfassende Freistellung</w:t>
      </w:r>
      <w:r w:rsidR="005F360C" w:rsidRPr="000F3B66">
        <w:rPr>
          <w:rFonts w:cs="Arial"/>
          <w:szCs w:val="24"/>
        </w:rPr>
        <w:t xml:space="preserve"> solcher Leistungen</w:t>
      </w:r>
      <w:r w:rsidRPr="000F3B66">
        <w:rPr>
          <w:rFonts w:cs="Arial"/>
          <w:szCs w:val="24"/>
        </w:rPr>
        <w:t xml:space="preserve"> von der Umsatzsteuer einsetzen.</w:t>
      </w:r>
    </w:p>
    <w:p w:rsidR="00FB5F69" w:rsidRDefault="00FB5F69" w:rsidP="00686222">
      <w:pPr>
        <w:spacing w:line="240" w:lineRule="auto"/>
        <w:rPr>
          <w:rFonts w:cs="Arial"/>
          <w:szCs w:val="24"/>
        </w:rPr>
      </w:pPr>
    </w:p>
    <w:p w:rsidR="00843D68" w:rsidRPr="000F3B66" w:rsidRDefault="00843D68" w:rsidP="00843D68">
      <w:pPr>
        <w:spacing w:line="240" w:lineRule="auto"/>
        <w:rPr>
          <w:rFonts w:cs="Arial"/>
          <w:szCs w:val="24"/>
          <w:lang w:val="de"/>
        </w:rPr>
      </w:pPr>
      <w:r w:rsidRPr="000F3B66">
        <w:rPr>
          <w:rFonts w:cs="Arial"/>
          <w:szCs w:val="24"/>
          <w:lang w:val="de"/>
        </w:rPr>
        <w:t>Die Bundesregierung wird mit der grundlegenden Reform der Investmentbesteuerung die künftige steuerliche Behandlung von Veräußerungsgewinnen aus Streubesitz erneut</w:t>
      </w:r>
      <w:r w:rsidRPr="00C40E1D">
        <w:rPr>
          <w:rFonts w:cs="Arial"/>
          <w:szCs w:val="24"/>
          <w:lang w:val="de"/>
        </w:rPr>
        <w:t xml:space="preserve"> ergebnisoffen </w:t>
      </w:r>
      <w:r w:rsidRPr="000F3B66">
        <w:rPr>
          <w:rFonts w:cs="Arial"/>
          <w:szCs w:val="24"/>
          <w:lang w:val="de"/>
        </w:rPr>
        <w:t>aufgreifen und die notwendigen Folgerungen ziehen. Dabei soll vor allem für den Bereich der Business Angels und Startups nach Lösungen für besondere Belastungseffekte für den Fall gesucht werden, dass sich der Investor von seinem Engagement trennt.</w:t>
      </w:r>
    </w:p>
    <w:p w:rsidR="00843D68" w:rsidRPr="000F3B66" w:rsidRDefault="00843D68" w:rsidP="00843D68">
      <w:pPr>
        <w:spacing w:line="240" w:lineRule="auto"/>
        <w:rPr>
          <w:rFonts w:cs="Arial"/>
          <w:i/>
          <w:szCs w:val="24"/>
          <w:lang w:val="de"/>
        </w:rPr>
      </w:pPr>
    </w:p>
    <w:p w:rsidR="00FB5F69" w:rsidRPr="000F3B66" w:rsidRDefault="00FB5F69" w:rsidP="00686222">
      <w:pPr>
        <w:spacing w:line="240" w:lineRule="auto"/>
        <w:rPr>
          <w:rFonts w:cs="Arial"/>
          <w:b/>
          <w:szCs w:val="24"/>
        </w:rPr>
      </w:pPr>
      <w:r w:rsidRPr="000F3B66">
        <w:rPr>
          <w:rFonts w:cs="Arial"/>
          <w:b/>
          <w:szCs w:val="24"/>
        </w:rPr>
        <w:t>Durchsetzung von Steueransprüchen und wirksame Eindämmung aggressiver Steuerplanung auf internationaler, europäischer und nationaler Ebene</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 xml:space="preserve">Wir werden als eine zentrale steuerpolitische Aufgabe den Kampf gegen grenzüberschreitende Gewinnverlagerungen international operierender Unternehmen entschlossen vorantreiben, uns für umfassende Transparenz zwischen den Steuerverwaltungen einsetzen und gegen schädlichen Steuerwettbewerb vorgehen. Wir wollen verhindern, dass Unternehmen eine doppelte Nichtbesteuerung von Einkünften oder einen doppelten Betriebsausgabenabzug erreichen können. </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Wir erwarten den Abschluss der Arbeiten zur OECD-BEPS (Base Erosion and Profit Shifting)-Initiative im Jahre 2015, einem Vorhaben, um internationaler Steuervermeidung entgegenzuwirken, welches wir aktiv unterstützen. Soweit sich unsere Ziele im Rahmen der OECD-BEPS-Initiative in diesem Zeitraum nicht realisieren lassen, werden wir nationale Maßnahmen ergreifen. Dazu zählt u. a. eine Beschränkung des Betriebsausgabenabzugs für Zahlungen an Briefkastenfirmen, die keine hinreichend aktive Geschäftstätigkeit nachweisen können und die Schaffung eines öffentlichen Registers für alle wirtschaftlich Beteiligten an Trust-Konstruktionen nach dem Vorbild des Geldwäschegesetzes</w:t>
      </w:r>
      <w:r w:rsidRPr="000F3B66">
        <w:rPr>
          <w:rFonts w:cs="Arial"/>
          <w:b/>
          <w:szCs w:val="24"/>
        </w:rPr>
        <w:t>.</w:t>
      </w:r>
      <w:r w:rsidR="00546494">
        <w:rPr>
          <w:rFonts w:cs="Arial"/>
          <w:szCs w:val="24"/>
        </w:rPr>
        <w:t xml:space="preserve"> Auch wollen wir sicher</w:t>
      </w:r>
      <w:r w:rsidRPr="000F3B66">
        <w:rPr>
          <w:rFonts w:cs="Arial"/>
          <w:szCs w:val="24"/>
        </w:rPr>
        <w:t>stellen, dass der steuerliche Abzug von Lizenzaufwendungen mit einer angemessenen Besteuerung der Lizenzerträge im Empfängerland korrespondiert. Im Vorgriff auf diese internationale Regelung werden wir in Deutschland erforderlichenfalls gesetzgeberisch voranschreiten.</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b/>
          <w:szCs w:val="24"/>
        </w:rPr>
      </w:pPr>
      <w:r w:rsidRPr="000F3B66">
        <w:rPr>
          <w:rFonts w:cs="Arial"/>
          <w:szCs w:val="24"/>
        </w:rPr>
        <w:t xml:space="preserve">Die Herstellung von besserer internationaler Transparenz in Steuersachen gegenüber Finanzverwaltungen trägt erheblich zu fairerem Steuerwettbewerb und zur Vermeidung von Steuerhinterziehung bei. </w:t>
      </w:r>
      <w:r w:rsidRPr="0055125B">
        <w:rPr>
          <w:rFonts w:cs="Arial"/>
          <w:szCs w:val="24"/>
        </w:rPr>
        <w:t xml:space="preserve">Wir wollen deswegen </w:t>
      </w:r>
      <w:r w:rsidR="00732428" w:rsidRPr="0055125B">
        <w:rPr>
          <w:rFonts w:cs="Arial"/>
          <w:szCs w:val="24"/>
        </w:rPr>
        <w:t xml:space="preserve">entsprechend der europäischen Regelung </w:t>
      </w:r>
      <w:r w:rsidRPr="0055125B">
        <w:rPr>
          <w:rFonts w:cs="Arial"/>
          <w:szCs w:val="24"/>
        </w:rPr>
        <w:t xml:space="preserve">eine länderspezifische Berichterstattung </w:t>
      </w:r>
      <w:r w:rsidR="00732428" w:rsidRPr="0055125B">
        <w:rPr>
          <w:rFonts w:cs="Arial"/>
          <w:szCs w:val="24"/>
        </w:rPr>
        <w:t xml:space="preserve">im Bankenbereich und im Rohstoffhandel </w:t>
      </w:r>
      <w:r w:rsidRPr="0055125B">
        <w:rPr>
          <w:rFonts w:cs="Arial"/>
          <w:szCs w:val="24"/>
        </w:rPr>
        <w:t>insbesondere über erzielte Gewinne, entstandene Verluste und gezahlte Steuern („country-by-country-reporting“) zwischen den Steuerverwaltungen der Länder einführen.</w:t>
      </w:r>
      <w:r w:rsidRPr="000F3B66">
        <w:rPr>
          <w:rFonts w:cs="Arial"/>
          <w:szCs w:val="24"/>
        </w:rPr>
        <w:t xml:space="preserve"> Ausgehend von den Entscheidungen der G 20 Staats- und Regierungschefs sowie der G 20 Finanzminister streben wir eine Revision des OECD-Musterabkommens zum Informationsaustausch mit dem Ziel des automatischen steuerlichen Informationsaustausches als internationalem Standard an. Bis dahin werden wir nach dem Vorbild des Abkommens zwischen sechs EU-Mitgliedstaaten weitere bilaterale bzw. multilaterale Vereinbarungen über einen automatischen Informationsaustausch schließen. Wir wollen in einem weiteren Schritt den Anwendungsbereich der EU-Zinsrichtlinie auf alle Kapitaleinkünfte und alle natürlichen und j</w:t>
      </w:r>
      <w:r w:rsidR="0055125B">
        <w:rPr>
          <w:rFonts w:cs="Arial"/>
          <w:szCs w:val="24"/>
        </w:rPr>
        <w:t>uristischen Personen ausdehnen.</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Wir setzen uns für eine bessere Abstimmung des Unternehmen</w:t>
      </w:r>
      <w:r w:rsidR="00DA0ECD">
        <w:rPr>
          <w:rFonts w:cs="Arial"/>
          <w:szCs w:val="24"/>
        </w:rPr>
        <w:t>s</w:t>
      </w:r>
      <w:r w:rsidRPr="000F3B66">
        <w:rPr>
          <w:rFonts w:cs="Arial"/>
          <w:szCs w:val="24"/>
        </w:rPr>
        <w:t xml:space="preserve">steuerrechts in der EU ein. Ausgangspunkt bilden dabei die Arbeiten für eine gemeinsame Körperschaftsteuer-Bemessungsgrundlage. </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Umsatzsteuerbetrug stellt die fiskalisch bedeutendste Form der Steuerhinterziehung dar. Wir wollen den Schnellreaktionsmechanismus gezielt einsetzen, um Umsatzsteuerbetrug frühzeitig zu unterbinden: Wir werden dabei darauf achten, dass deutsches Umsatzsteuerrecht nicht unnötig kompliziert wird. Erforderlichenfalls werden wir weitere Initiativen ergreifen. Das BZSt wird zentraler Ansprechpartner der Finanzverwaltungen der Bundesländer für betrügerische Gestaltungen unabhängig von Branchen.</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 xml:space="preserve">Die Bundesregierung wird die Arbeiten für die nationale Verhandlungsgrundlage für Doppelbesteuerungsabkommen (DBA) fortsetzen. DBA dienen nicht mehr alleine der Verhinderung von doppelter Besteuerung, sondern auch der Verhinderung doppelter Nichtbesteuerung (sog. weiße Einkünfte). Wir werden daher weiterhin entsprechende Klauseln in den DBAs verhandeln und in der Zwischenzeit diese Grundsätze in nationalen Regelungen absichern. </w:t>
      </w:r>
    </w:p>
    <w:p w:rsidR="00FB5F69" w:rsidRPr="000F3B66" w:rsidRDefault="00FB5F69" w:rsidP="00686222">
      <w:pPr>
        <w:spacing w:line="240" w:lineRule="auto"/>
        <w:rPr>
          <w:rFonts w:cs="Arial"/>
          <w:szCs w:val="24"/>
        </w:rPr>
      </w:pPr>
    </w:p>
    <w:p w:rsidR="00FB5F69" w:rsidRPr="000F3B66" w:rsidRDefault="00FB5F69" w:rsidP="00686222">
      <w:pPr>
        <w:spacing w:line="240" w:lineRule="auto"/>
        <w:rPr>
          <w:rFonts w:cs="Arial"/>
          <w:szCs w:val="24"/>
        </w:rPr>
      </w:pPr>
      <w:r w:rsidRPr="000F3B66">
        <w:rPr>
          <w:rFonts w:cs="Arial"/>
          <w:szCs w:val="24"/>
        </w:rPr>
        <w:t>Wir werden auf internationaler, europäischer und nationaler Ebene weiter konsequent gegen Steuervermeidung durch Nutzung von Offshore-Finanzplätzen vorgehen.</w:t>
      </w:r>
    </w:p>
    <w:p w:rsidR="009833E2" w:rsidRDefault="009833E2" w:rsidP="00686222">
      <w:pPr>
        <w:spacing w:line="240" w:lineRule="auto"/>
        <w:rPr>
          <w:rFonts w:cs="Arial"/>
          <w:b/>
          <w:szCs w:val="24"/>
        </w:rPr>
      </w:pPr>
    </w:p>
    <w:p w:rsidR="00843D68" w:rsidRPr="00E91D50" w:rsidRDefault="00843D68" w:rsidP="00843D68">
      <w:pPr>
        <w:spacing w:line="240" w:lineRule="auto"/>
        <w:rPr>
          <w:rFonts w:cs="Arial"/>
          <w:szCs w:val="24"/>
          <w:lang w:val="de"/>
        </w:rPr>
      </w:pPr>
      <w:r w:rsidRPr="00E91D50">
        <w:rPr>
          <w:rFonts w:cs="Arial"/>
          <w:szCs w:val="24"/>
          <w:lang w:val="de"/>
        </w:rPr>
        <w:t>Wir werden im Umwandlungssteuerrecht prüfen, wie der Anteilstausch und Umwandlungen mit finanziellen Gegenleistungen nicht mehr systemwidrig steuerfrei gestaltet werden können. Bei der Kombination aus Anteilstausch und Zuzahlung sollte ggf. die Zuzahlung quotal beschränkt, aber nicht gänzlich ausgeschlossen werden.</w:t>
      </w:r>
    </w:p>
    <w:p w:rsidR="00843D68" w:rsidRDefault="00843D68" w:rsidP="00843D68">
      <w:pPr>
        <w:spacing w:line="240" w:lineRule="auto"/>
        <w:rPr>
          <w:rFonts w:cs="Arial"/>
          <w:szCs w:val="24"/>
          <w:lang w:val="de"/>
        </w:rPr>
      </w:pPr>
    </w:p>
    <w:p w:rsidR="00843D68" w:rsidRPr="00476AAD" w:rsidRDefault="00843D68" w:rsidP="00843D68">
      <w:pPr>
        <w:spacing w:line="240" w:lineRule="auto"/>
        <w:rPr>
          <w:rFonts w:cs="Arial"/>
          <w:szCs w:val="24"/>
          <w:lang w:val="de"/>
        </w:rPr>
      </w:pPr>
      <w:r w:rsidRPr="00546494">
        <w:rPr>
          <w:rFonts w:cs="Arial"/>
          <w:szCs w:val="24"/>
          <w:lang w:val="de"/>
        </w:rPr>
        <w:t>Wir werden weiterhin entschlossen gegen Steuerhinterziehung vorgehen.</w:t>
      </w:r>
      <w:r w:rsidR="00546494" w:rsidRPr="00546494">
        <w:rPr>
          <w:rFonts w:cs="Arial"/>
          <w:szCs w:val="24"/>
          <w:lang w:val="de"/>
        </w:rPr>
        <w:t xml:space="preserve"> </w:t>
      </w:r>
      <w:r w:rsidRPr="00546494">
        <w:rPr>
          <w:rFonts w:cs="Arial"/>
          <w:szCs w:val="24"/>
          <w:lang w:val="de"/>
        </w:rPr>
        <w:t>Wir werden im Lichte des ausstehenden Berichts der Finanzministerkonferenz (FMK) die Regelungen zur strafbefreienden Selbstanzeige weiterentwickeln, sofern hierfür Handlungsbedarf aufgezeigt wird. Ein Ansatzpunkt wäre, die Wirkung der Selbstanzeige künftig von den vollständigen Angaben zu den steuerrechtlich unverjährten Zeiträumen (zehn Jahre) abhängig zu machen. Der Steuerpflichtige müsste dann, um Straffreiheit für die letzten fünf Jahre zu erlangen, auch für die weiter zurückliegenden fünf Jahre alle Angaben berichtigen, ergänzen oder nachholen. Zudem wollen wir künftig eine Anlaufhemmung bei bestimmten Auslandssachverhalten hinsichtlich der Festsetzungsverjährung einführen, wenn diese nicht korrekt erklärt werden. Werden steuerrelevante Auslandssachverhalte erst Jahre später bekannt, kann so die Besteuerung noch durchgeführt werden.</w:t>
      </w:r>
    </w:p>
    <w:p w:rsidR="00843D68" w:rsidRDefault="00843D68" w:rsidP="00843D68">
      <w:pPr>
        <w:spacing w:line="240" w:lineRule="auto"/>
        <w:rPr>
          <w:rFonts w:cs="Arial"/>
          <w:szCs w:val="24"/>
          <w:lang w:val="de"/>
        </w:rPr>
      </w:pPr>
    </w:p>
    <w:p w:rsidR="00843D68" w:rsidRPr="000F3B66" w:rsidRDefault="00843D68" w:rsidP="00843D68">
      <w:pPr>
        <w:spacing w:line="240" w:lineRule="auto"/>
        <w:rPr>
          <w:rFonts w:cs="Arial"/>
          <w:szCs w:val="24"/>
          <w:lang w:val="de"/>
        </w:rPr>
      </w:pPr>
      <w:r w:rsidRPr="00E91D50">
        <w:rPr>
          <w:rFonts w:cs="Arial"/>
          <w:szCs w:val="24"/>
          <w:lang w:val="de"/>
        </w:rPr>
        <w:t>Bei systematischen Verstößen von Banken gegen das Steuerrecht kommen  aufsichtsrechtliche Sanktionen bis hin zum Lizenzentzug in Betracht.</w:t>
      </w:r>
      <w:r w:rsidRPr="000F3B66">
        <w:rPr>
          <w:rFonts w:cs="Arial"/>
          <w:i/>
          <w:szCs w:val="24"/>
          <w:lang w:val="de"/>
        </w:rPr>
        <w:t xml:space="preserve"> </w:t>
      </w:r>
      <w:r w:rsidRPr="000F3B66">
        <w:rPr>
          <w:rFonts w:cs="Arial"/>
          <w:szCs w:val="24"/>
          <w:lang w:val="de"/>
        </w:rPr>
        <w:t xml:space="preserve">Die Bundesregierung wird prüfen, ob durch eine Verbesserung des Informationsflusses von der </w:t>
      </w:r>
      <w:r>
        <w:rPr>
          <w:rFonts w:cs="Arial"/>
          <w:szCs w:val="24"/>
          <w:lang w:val="de"/>
        </w:rPr>
        <w:t>Bundesanstalt für Finanzdienstleistungsaufsicht (</w:t>
      </w:r>
      <w:r w:rsidRPr="000F3B66">
        <w:rPr>
          <w:rFonts w:cs="Arial"/>
          <w:szCs w:val="24"/>
          <w:lang w:val="de"/>
        </w:rPr>
        <w:t>BaFin</w:t>
      </w:r>
      <w:r>
        <w:rPr>
          <w:rFonts w:cs="Arial"/>
          <w:szCs w:val="24"/>
          <w:lang w:val="de"/>
        </w:rPr>
        <w:t>)</w:t>
      </w:r>
      <w:r w:rsidRPr="000F3B66">
        <w:rPr>
          <w:rFonts w:cs="Arial"/>
          <w:szCs w:val="24"/>
          <w:lang w:val="de"/>
        </w:rPr>
        <w:t xml:space="preserve"> an die Finanzbehörden die Steuerhinterziehung wirksamer bekämpft werden kann.</w:t>
      </w:r>
    </w:p>
    <w:p w:rsidR="00843D68" w:rsidRDefault="00843D68" w:rsidP="00843D68">
      <w:pPr>
        <w:spacing w:line="240" w:lineRule="auto"/>
        <w:rPr>
          <w:rFonts w:cs="Arial"/>
          <w:szCs w:val="24"/>
          <w:lang w:val="de"/>
        </w:rPr>
      </w:pPr>
    </w:p>
    <w:p w:rsidR="00FB5F69" w:rsidRPr="000F3B66" w:rsidRDefault="00FB5F69" w:rsidP="00686222">
      <w:pPr>
        <w:spacing w:line="240" w:lineRule="auto"/>
        <w:rPr>
          <w:rFonts w:cs="Arial"/>
          <w:b/>
          <w:szCs w:val="24"/>
        </w:rPr>
      </w:pPr>
      <w:r w:rsidRPr="000F3B66">
        <w:rPr>
          <w:rFonts w:cs="Arial"/>
          <w:b/>
          <w:szCs w:val="24"/>
        </w:rPr>
        <w:t>Gewerbesteuer, Erbschaftsteuer, Grundsteuer</w:t>
      </w:r>
      <w:r w:rsidR="00DA0ECD">
        <w:rPr>
          <w:rStyle w:val="Funotenzeichen"/>
          <w:rFonts w:cs="Arial"/>
          <w:b/>
          <w:szCs w:val="24"/>
        </w:rPr>
        <w:footnoteReference w:id="1"/>
      </w:r>
    </w:p>
    <w:p w:rsidR="00FB5F69" w:rsidRPr="000F3B66" w:rsidRDefault="00FB5F69" w:rsidP="00686222">
      <w:pPr>
        <w:spacing w:line="240" w:lineRule="auto"/>
        <w:rPr>
          <w:rFonts w:cs="Arial"/>
          <w:szCs w:val="24"/>
        </w:rPr>
      </w:pPr>
    </w:p>
    <w:p w:rsidR="00EC2540" w:rsidRPr="000F3B66" w:rsidRDefault="00EC2540" w:rsidP="00686222">
      <w:pPr>
        <w:spacing w:line="240" w:lineRule="auto"/>
        <w:rPr>
          <w:rFonts w:cs="Arial"/>
          <w:szCs w:val="24"/>
        </w:rPr>
      </w:pPr>
      <w:r w:rsidRPr="000F3B66">
        <w:rPr>
          <w:rFonts w:cs="Arial"/>
          <w:szCs w:val="24"/>
        </w:rPr>
        <w:t>Zum Kernbestand kommunaler Selbstverwaltung gehört eine stabile Finanzausstattung. Dies setzt voraus, dass die kommunalen Aufgaben zum Wohle der Bürgerinnen und Bürger ausreichend finanziert sind.</w:t>
      </w:r>
    </w:p>
    <w:p w:rsidR="00EC2540" w:rsidRPr="000F3B66" w:rsidRDefault="00EC2540" w:rsidP="00686222">
      <w:pPr>
        <w:spacing w:line="240" w:lineRule="auto"/>
        <w:rPr>
          <w:rFonts w:cs="Arial"/>
          <w:szCs w:val="24"/>
        </w:rPr>
      </w:pPr>
      <w:r w:rsidRPr="000F3B66">
        <w:rPr>
          <w:rFonts w:cs="Arial"/>
          <w:szCs w:val="24"/>
        </w:rPr>
        <w:t>Die Gewerbesteuer ist eine wichtige steuerliche Einnahmequelle der Kommunen. Wir wollen, dass auf der Basis des geltenden Rechts für die kommenden Jahre Planungssicherheit besteht.</w:t>
      </w:r>
    </w:p>
    <w:p w:rsidR="00EC2540" w:rsidRPr="000F3B66" w:rsidRDefault="00EC2540" w:rsidP="00686222">
      <w:pPr>
        <w:spacing w:line="240" w:lineRule="auto"/>
        <w:rPr>
          <w:rFonts w:cs="Arial"/>
          <w:szCs w:val="24"/>
        </w:rPr>
      </w:pPr>
    </w:p>
    <w:p w:rsidR="00EC2540" w:rsidRPr="000F3B66" w:rsidRDefault="00EC2540" w:rsidP="00686222">
      <w:pPr>
        <w:spacing w:line="240" w:lineRule="auto"/>
        <w:rPr>
          <w:rFonts w:cs="Arial"/>
          <w:szCs w:val="24"/>
        </w:rPr>
      </w:pPr>
      <w:r w:rsidRPr="000F3B66">
        <w:rPr>
          <w:rFonts w:cs="Arial"/>
          <w:szCs w:val="24"/>
        </w:rPr>
        <w:t xml:space="preserve">Die Erbschaftsteuer ermöglicht in ihrer jetzigen Ausgestaltung den Generationswechsel in den Unternehmen und schützt Arbeitsplätze. Sie bleibt den Ländern als wichtige Einnahmequelle erhalten. </w:t>
      </w:r>
    </w:p>
    <w:p w:rsidR="00EC2540" w:rsidRPr="000F3B66" w:rsidRDefault="00EC2540" w:rsidP="00686222">
      <w:pPr>
        <w:spacing w:line="240" w:lineRule="auto"/>
        <w:rPr>
          <w:rFonts w:cs="Arial"/>
          <w:szCs w:val="24"/>
        </w:rPr>
      </w:pPr>
    </w:p>
    <w:p w:rsidR="00EC2540" w:rsidRPr="000F3B66" w:rsidRDefault="00EC2540" w:rsidP="00686222">
      <w:pPr>
        <w:spacing w:line="240" w:lineRule="auto"/>
        <w:rPr>
          <w:rFonts w:cs="Arial"/>
          <w:szCs w:val="24"/>
        </w:rPr>
      </w:pPr>
      <w:r w:rsidRPr="000F3B66">
        <w:rPr>
          <w:rFonts w:cs="Arial"/>
          <w:szCs w:val="24"/>
        </w:rPr>
        <w:t>Die Grundsteuer wird unter Beibehaltung</w:t>
      </w:r>
      <w:r w:rsidRPr="00DA0ECD">
        <w:rPr>
          <w:rFonts w:cs="Arial"/>
          <w:szCs w:val="24"/>
        </w:rPr>
        <w:t xml:space="preserve"> </w:t>
      </w:r>
      <w:r w:rsidR="00287EAD" w:rsidRPr="00DA0ECD">
        <w:rPr>
          <w:rFonts w:cs="Arial"/>
          <w:szCs w:val="24"/>
        </w:rPr>
        <w:t>des Hebesatzrechtes</w:t>
      </w:r>
      <w:r w:rsidRPr="00DA0ECD">
        <w:rPr>
          <w:rFonts w:cs="Arial"/>
          <w:szCs w:val="24"/>
        </w:rPr>
        <w:t xml:space="preserve"> fü</w:t>
      </w:r>
      <w:r w:rsidRPr="000F3B66">
        <w:rPr>
          <w:rFonts w:cs="Arial"/>
          <w:szCs w:val="24"/>
        </w:rPr>
        <w:t>r Kommunen zeitnah modernisiert. Wir fordern die Länder auf, nach Abschluss der laufenden Prüfprozesse rasch zu einer gemeinsamen Position zu kommen. Ziel der Reform ist es, die Grundsteuer als verlässliche kommunale Einnahmequelle zu erhalten, d.h. das Aufkommen zu sichern und Rechtssicherheit herzustellen.</w:t>
      </w:r>
    </w:p>
    <w:p w:rsidR="00EC2540" w:rsidRPr="000F3B66" w:rsidRDefault="00EC2540" w:rsidP="00686222">
      <w:pPr>
        <w:spacing w:line="240" w:lineRule="auto"/>
        <w:rPr>
          <w:rFonts w:cs="Arial"/>
          <w:szCs w:val="24"/>
        </w:rPr>
      </w:pPr>
    </w:p>
    <w:p w:rsidR="009D26A4" w:rsidRPr="009D26A4" w:rsidRDefault="009D26A4" w:rsidP="00686222">
      <w:pPr>
        <w:spacing w:line="240" w:lineRule="auto"/>
        <w:rPr>
          <w:rFonts w:cs="Arial"/>
          <w:iCs/>
          <w:szCs w:val="24"/>
          <w:lang w:val="de"/>
        </w:rPr>
      </w:pPr>
    </w:p>
    <w:p w:rsidR="00373ADD" w:rsidRPr="000F3B66" w:rsidRDefault="00373ADD" w:rsidP="00686222">
      <w:pPr>
        <w:spacing w:line="240" w:lineRule="auto"/>
        <w:rPr>
          <w:rFonts w:cs="Arial"/>
          <w:b/>
          <w:sz w:val="28"/>
          <w:szCs w:val="24"/>
        </w:rPr>
      </w:pPr>
      <w:r w:rsidRPr="000F3B66">
        <w:rPr>
          <w:rFonts w:cs="Arial"/>
          <w:b/>
          <w:sz w:val="28"/>
          <w:szCs w:val="24"/>
        </w:rPr>
        <w:t>Föderale Finanzbeziehungen</w:t>
      </w:r>
      <w:r w:rsidR="00287EAD" w:rsidRPr="000F3B66">
        <w:rPr>
          <w:rFonts w:cs="Arial"/>
          <w:b/>
          <w:sz w:val="28"/>
          <w:szCs w:val="24"/>
        </w:rPr>
        <w:t xml:space="preserve"> zukunftsfest gestalten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Das föderale System ist eine Stärke der Demokratie und ein wichtiger Grund für die Leistungs</w:t>
      </w:r>
      <w:r w:rsidRPr="000F3B66">
        <w:rPr>
          <w:rFonts w:cs="Arial"/>
          <w:szCs w:val="24"/>
        </w:rPr>
        <w:softHyphen/>
        <w:t xml:space="preserve">fähigkeit Deutschlands. Angesichts der Herausforderungen durch die Globalisierung und Europäisierung müssen wir immer wieder neu sicherstellen, dass unser föderales System handlungsfähig bleibt. Dazu gehört, dass jede Ebene – Bund, Länder und Kommunen – ihren Aufgaben mit einem hohen Maß an Eigenverantwortung nachkommen kann. </w:t>
      </w:r>
    </w:p>
    <w:p w:rsidR="00373ADD" w:rsidRPr="000F3B66" w:rsidRDefault="00373ADD" w:rsidP="00686222">
      <w:pPr>
        <w:spacing w:line="240" w:lineRule="auto"/>
        <w:rPr>
          <w:rFonts w:cs="Arial"/>
          <w:szCs w:val="24"/>
        </w:rPr>
      </w:pPr>
    </w:p>
    <w:p w:rsidR="00373ADD" w:rsidRPr="000F3B66" w:rsidRDefault="00DF01F6" w:rsidP="00686222">
      <w:pPr>
        <w:spacing w:line="240" w:lineRule="auto"/>
        <w:rPr>
          <w:rFonts w:cs="Arial"/>
          <w:szCs w:val="24"/>
        </w:rPr>
      </w:pPr>
      <w:r w:rsidRPr="000F3B66">
        <w:rPr>
          <w:rFonts w:cs="Arial"/>
          <w:szCs w:val="24"/>
        </w:rPr>
        <w:t>Die Kommunen sind</w:t>
      </w:r>
      <w:r w:rsidR="00373ADD" w:rsidRPr="000F3B66">
        <w:rPr>
          <w:rFonts w:cs="Arial"/>
          <w:szCs w:val="24"/>
        </w:rPr>
        <w:t xml:space="preserve"> ein zentraler Bestandteil unseres Gemeinwesens. </w:t>
      </w:r>
      <w:r w:rsidRPr="000F3B66">
        <w:rPr>
          <w:rFonts w:cs="Arial"/>
          <w:szCs w:val="24"/>
        </w:rPr>
        <w:t>S</w:t>
      </w:r>
      <w:r w:rsidR="00373ADD" w:rsidRPr="000F3B66">
        <w:rPr>
          <w:rFonts w:cs="Arial"/>
          <w:szCs w:val="24"/>
        </w:rPr>
        <w:t xml:space="preserve">ie nehmen wichtige Aufgaben der Daseinsvorsorge und der lokalen Infrastruktur wahr. Um die grundgesetzlich garantierte kommunale Selbstverwaltung </w:t>
      </w:r>
      <w:r w:rsidR="009D26A4">
        <w:rPr>
          <w:rFonts w:cs="Arial"/>
          <w:szCs w:val="24"/>
        </w:rPr>
        <w:t>zu sichern</w:t>
      </w:r>
      <w:r w:rsidR="00373ADD" w:rsidRPr="000F3B66">
        <w:rPr>
          <w:rFonts w:cs="Arial"/>
          <w:szCs w:val="24"/>
        </w:rPr>
        <w:t xml:space="preserve">, müssen die Kommunen handlungsfähig sein. Voraussetzung dafür sind auch gesunde Finanzen. Der Bund hat dazu einen gewichtigen Beitrag geleistet, unter anderem durch die ab dem Jahr 2014 vollständige Erstattung der Nettoausgaben für die Grundsicherung im Alter und bei Erwerbsminderung, seine finanzielle Beteiligung am Ausbau der Kinderbetreuung für unter Dreijährige und die Fortschreibung der Entflechtungsmittel bis einschließlich 2019 auf dem bisherigen Niveau. Die kommunale Ebene erzielt seit dem Jahr 2012 Finanzierungsüberschüsse. Trotz des positiven Gesamteindrucks herrscht eine große Heterogenität bei der Finanzsituation der Kommunen. </w:t>
      </w:r>
    </w:p>
    <w:p w:rsidR="00373ADD" w:rsidRDefault="00373ADD" w:rsidP="00686222">
      <w:pPr>
        <w:spacing w:line="240" w:lineRule="auto"/>
        <w:rPr>
          <w:rFonts w:cs="Arial"/>
          <w:szCs w:val="24"/>
        </w:rPr>
      </w:pPr>
    </w:p>
    <w:p w:rsidR="009D26A4" w:rsidRDefault="009D26A4" w:rsidP="00686222">
      <w:pPr>
        <w:spacing w:line="240" w:lineRule="auto"/>
        <w:rPr>
          <w:rFonts w:cs="Arial"/>
          <w:szCs w:val="24"/>
        </w:rPr>
      </w:pPr>
      <w:r w:rsidRPr="009D26A4">
        <w:rPr>
          <w:rFonts w:cs="Arial"/>
          <w:szCs w:val="24"/>
        </w:rPr>
        <w:t>Wir werden ein Bundesleistungsgesetz für Menschen mit Behinderung (Bundesteilhabegeset</w:t>
      </w:r>
      <w:r>
        <w:rPr>
          <w:rFonts w:cs="Arial"/>
          <w:szCs w:val="24"/>
        </w:rPr>
        <w:t>z) erarbeiten. Mit Inkrafttreten</w:t>
      </w:r>
      <w:r w:rsidRPr="009D26A4">
        <w:rPr>
          <w:rFonts w:cs="Arial"/>
          <w:szCs w:val="24"/>
        </w:rPr>
        <w:t xml:space="preserve"> dieses Gesetzes wird der Bund zu einer Entlastung der Kommunen bei der Eingliederungshilfe beitragen. Dabei werden wir die Neuorganisation der Ausgestaltung der Teilhabe zugunsten der Menschen mit Behinderung so regeln, dass keine neue Ausgabendynamik entsteht.</w:t>
      </w:r>
      <w:r>
        <w:rPr>
          <w:rFonts w:cs="Arial"/>
          <w:szCs w:val="24"/>
        </w:rPr>
        <w:t xml:space="preserve"> </w:t>
      </w:r>
      <w:r w:rsidRPr="009D26A4">
        <w:rPr>
          <w:rFonts w:cs="Arial"/>
          <w:i/>
          <w:szCs w:val="24"/>
        </w:rPr>
        <w:t>(Redaktioneller Hinweis: Ausmaß und Zeitpunkt der finanziellen Entlastung der Kommunen werden im Abschnitt „Prioritäre Maßnahmen“ behandelt.)</w:t>
      </w:r>
    </w:p>
    <w:p w:rsidR="009D26A4" w:rsidRDefault="009D26A4"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 xml:space="preserve">Spätestens Ende 2019 müssen die Bund-Länder-Finanzbeziehungen neu geordnet sein. Der Länderfinanzausgleich ist zu diesem Zeitpunkt neu zu regeln. Die Länder werden ab diesem Zeitpunkt keine </w:t>
      </w:r>
      <w:r w:rsidR="009D26A4">
        <w:rPr>
          <w:rFonts w:cs="Arial"/>
          <w:szCs w:val="24"/>
        </w:rPr>
        <w:t>strukturellen Defizite mehr haben</w:t>
      </w:r>
      <w:r w:rsidRPr="000F3B66">
        <w:rPr>
          <w:rFonts w:cs="Arial"/>
          <w:szCs w:val="24"/>
        </w:rPr>
        <w:t>. In dieser Legislaturperiode müssen dafür die Weichen gestellt werden. Dazu finden zwischen Bund und Ländern Gespräche statt.</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Die Koalition wird hierzu eine Kommission einrichten, in der Bund und Länder vertreten sind. Dazu werden Vertreter der Kommunen einbezogen. Die Kommission wird sich mit Fragen der föderalen Finanzbeziehungen befassen und dazu Vorschläge erarbeiten. Die Kommission soll bis Mitte der Legislaturperiode Ergebnisse zu den nachfolgenden Themenbereichen vorlegen:</w:t>
      </w:r>
    </w:p>
    <w:p w:rsidR="00373ADD" w:rsidRPr="000F3B66" w:rsidRDefault="00373ADD" w:rsidP="00686222">
      <w:pPr>
        <w:spacing w:line="240" w:lineRule="auto"/>
        <w:rPr>
          <w:rFonts w:cs="Arial"/>
          <w:szCs w:val="24"/>
        </w:rPr>
      </w:pPr>
    </w:p>
    <w:p w:rsidR="00373ADD" w:rsidRPr="000F3B66" w:rsidRDefault="00373ADD" w:rsidP="00686222">
      <w:pPr>
        <w:numPr>
          <w:ilvl w:val="0"/>
          <w:numId w:val="3"/>
        </w:numPr>
        <w:spacing w:line="240" w:lineRule="auto"/>
        <w:rPr>
          <w:rFonts w:cs="Arial"/>
          <w:szCs w:val="24"/>
        </w:rPr>
      </w:pPr>
      <w:r w:rsidRPr="000F3B66">
        <w:rPr>
          <w:rFonts w:cs="Arial"/>
          <w:szCs w:val="24"/>
        </w:rPr>
        <w:t xml:space="preserve">Künftige Aufgabenteilung von Bund und Ländern in der Bildungspolitik </w:t>
      </w:r>
    </w:p>
    <w:p w:rsidR="00373ADD" w:rsidRPr="000F3B66" w:rsidRDefault="00373ADD" w:rsidP="00686222">
      <w:pPr>
        <w:spacing w:line="240" w:lineRule="auto"/>
        <w:ind w:left="360"/>
        <w:rPr>
          <w:rFonts w:cs="Arial"/>
          <w:szCs w:val="24"/>
        </w:rPr>
      </w:pPr>
    </w:p>
    <w:p w:rsidR="00373ADD" w:rsidRPr="000F3B66" w:rsidRDefault="00373ADD" w:rsidP="00686222">
      <w:pPr>
        <w:numPr>
          <w:ilvl w:val="0"/>
          <w:numId w:val="3"/>
        </w:numPr>
        <w:spacing w:line="240" w:lineRule="auto"/>
        <w:rPr>
          <w:rFonts w:cs="Arial"/>
          <w:szCs w:val="24"/>
        </w:rPr>
      </w:pPr>
      <w:r w:rsidRPr="000F3B66">
        <w:rPr>
          <w:rFonts w:cs="Arial"/>
          <w:szCs w:val="24"/>
        </w:rPr>
        <w:t>Europäischer Fiskalvertrag</w:t>
      </w:r>
    </w:p>
    <w:p w:rsidR="00373ADD" w:rsidRPr="009D26A4" w:rsidRDefault="00373ADD" w:rsidP="00686222">
      <w:pPr>
        <w:spacing w:line="240" w:lineRule="auto"/>
        <w:ind w:left="360"/>
        <w:rPr>
          <w:rFonts w:cs="Arial"/>
          <w:szCs w:val="24"/>
        </w:rPr>
      </w:pPr>
    </w:p>
    <w:p w:rsidR="00373ADD" w:rsidRPr="000F3B66" w:rsidRDefault="005013DB" w:rsidP="00686222">
      <w:pPr>
        <w:numPr>
          <w:ilvl w:val="0"/>
          <w:numId w:val="3"/>
        </w:numPr>
        <w:spacing w:line="240" w:lineRule="auto"/>
        <w:rPr>
          <w:rFonts w:cs="Arial"/>
          <w:szCs w:val="24"/>
        </w:rPr>
      </w:pPr>
      <w:r w:rsidRPr="009D26A4">
        <w:rPr>
          <w:rFonts w:cs="Arial"/>
          <w:szCs w:val="24"/>
        </w:rPr>
        <w:t>Schaffung von Voraussetzungen für die Konsolidierung und die dauerhafte Einhaltung der neuen Schuldenregel in den Länderhaushalten</w:t>
      </w:r>
      <w:r w:rsidR="005462DA" w:rsidRPr="000F3B66">
        <w:rPr>
          <w:rFonts w:cs="Arial"/>
          <w:i/>
          <w:szCs w:val="24"/>
        </w:rPr>
        <w:t xml:space="preserve"> </w:t>
      </w:r>
    </w:p>
    <w:p w:rsidR="00373ADD" w:rsidRPr="000F3B66" w:rsidRDefault="00373ADD" w:rsidP="00686222">
      <w:pPr>
        <w:spacing w:line="240" w:lineRule="auto"/>
        <w:ind w:left="360"/>
        <w:rPr>
          <w:rFonts w:cs="Arial"/>
          <w:szCs w:val="24"/>
        </w:rPr>
      </w:pPr>
    </w:p>
    <w:p w:rsidR="00373ADD" w:rsidRPr="000F3B66" w:rsidRDefault="00373ADD" w:rsidP="00686222">
      <w:pPr>
        <w:numPr>
          <w:ilvl w:val="0"/>
          <w:numId w:val="3"/>
        </w:numPr>
        <w:spacing w:line="240" w:lineRule="auto"/>
        <w:rPr>
          <w:rFonts w:cs="Arial"/>
          <w:szCs w:val="24"/>
        </w:rPr>
      </w:pPr>
      <w:r w:rsidRPr="000F3B66">
        <w:rPr>
          <w:rFonts w:cs="Arial"/>
          <w:szCs w:val="24"/>
        </w:rPr>
        <w:t>Einnahmen- und Aufgabenverteilung und Eigenverantwortung der föderalen Ebenen</w:t>
      </w:r>
    </w:p>
    <w:p w:rsidR="00373ADD" w:rsidRPr="000F3B66" w:rsidRDefault="00373ADD" w:rsidP="00686222">
      <w:pPr>
        <w:spacing w:line="240" w:lineRule="auto"/>
        <w:ind w:left="360"/>
        <w:rPr>
          <w:rFonts w:cs="Arial"/>
          <w:szCs w:val="24"/>
        </w:rPr>
      </w:pPr>
    </w:p>
    <w:p w:rsidR="00373ADD" w:rsidRPr="009D26A4" w:rsidRDefault="00373ADD" w:rsidP="00686222">
      <w:pPr>
        <w:numPr>
          <w:ilvl w:val="0"/>
          <w:numId w:val="3"/>
        </w:numPr>
        <w:spacing w:line="240" w:lineRule="auto"/>
        <w:rPr>
          <w:rFonts w:cs="Arial"/>
          <w:szCs w:val="24"/>
        </w:rPr>
      </w:pPr>
      <w:r w:rsidRPr="009D26A4">
        <w:rPr>
          <w:rFonts w:cs="Arial"/>
          <w:szCs w:val="24"/>
        </w:rPr>
        <w:t>Altschulden, Finanzierungsmodalitäten und Zinslasten</w:t>
      </w:r>
    </w:p>
    <w:p w:rsidR="00373ADD" w:rsidRPr="009D26A4" w:rsidRDefault="00373ADD" w:rsidP="00686222">
      <w:pPr>
        <w:spacing w:line="240" w:lineRule="auto"/>
        <w:ind w:left="360"/>
        <w:rPr>
          <w:rFonts w:cs="Arial"/>
          <w:szCs w:val="24"/>
        </w:rPr>
      </w:pPr>
    </w:p>
    <w:p w:rsidR="00373ADD" w:rsidRPr="009D26A4" w:rsidRDefault="00373ADD" w:rsidP="00686222">
      <w:pPr>
        <w:numPr>
          <w:ilvl w:val="0"/>
          <w:numId w:val="3"/>
        </w:numPr>
        <w:spacing w:line="240" w:lineRule="auto"/>
        <w:rPr>
          <w:rFonts w:cs="Arial"/>
          <w:szCs w:val="24"/>
        </w:rPr>
      </w:pPr>
      <w:r w:rsidRPr="009D26A4">
        <w:rPr>
          <w:rFonts w:cs="Arial"/>
          <w:szCs w:val="24"/>
        </w:rPr>
        <w:t>Zu</w:t>
      </w:r>
      <w:r w:rsidR="009D26A4" w:rsidRPr="009D26A4">
        <w:rPr>
          <w:rFonts w:cs="Arial"/>
          <w:szCs w:val="24"/>
        </w:rPr>
        <w:t>kunft des Solidaritätszuschlags</w:t>
      </w:r>
    </w:p>
    <w:p w:rsidR="00373ADD" w:rsidRDefault="00373ADD" w:rsidP="00686222">
      <w:pPr>
        <w:spacing w:line="240" w:lineRule="auto"/>
        <w:rPr>
          <w:rFonts w:cs="Arial"/>
          <w:szCs w:val="24"/>
        </w:rPr>
      </w:pPr>
    </w:p>
    <w:p w:rsidR="009D26A4" w:rsidRPr="000F3B66" w:rsidRDefault="009D26A4" w:rsidP="00686222">
      <w:pPr>
        <w:spacing w:line="240" w:lineRule="auto"/>
        <w:rPr>
          <w:rFonts w:cs="Arial"/>
          <w:szCs w:val="24"/>
        </w:rPr>
      </w:pPr>
    </w:p>
    <w:p w:rsidR="00EC2540" w:rsidRPr="000F3B66" w:rsidRDefault="00287EAD" w:rsidP="00686222">
      <w:pPr>
        <w:spacing w:line="240" w:lineRule="auto"/>
        <w:rPr>
          <w:rFonts w:cs="Arial"/>
          <w:b/>
          <w:sz w:val="28"/>
          <w:szCs w:val="24"/>
        </w:rPr>
      </w:pPr>
      <w:r w:rsidRPr="000F3B66">
        <w:rPr>
          <w:rFonts w:cs="Arial"/>
          <w:b/>
          <w:sz w:val="28"/>
          <w:szCs w:val="24"/>
        </w:rPr>
        <w:t xml:space="preserve">Europäische </w:t>
      </w:r>
      <w:r w:rsidR="00373ADD" w:rsidRPr="000F3B66">
        <w:rPr>
          <w:rFonts w:cs="Arial"/>
          <w:b/>
          <w:sz w:val="28"/>
          <w:szCs w:val="24"/>
        </w:rPr>
        <w:t>Bankenunion</w:t>
      </w:r>
    </w:p>
    <w:p w:rsidR="00373ADD" w:rsidRPr="00F07D41" w:rsidRDefault="00287EAD" w:rsidP="00686222">
      <w:pPr>
        <w:spacing w:line="240" w:lineRule="auto"/>
        <w:rPr>
          <w:rFonts w:cs="Arial"/>
          <w:i/>
          <w:szCs w:val="24"/>
        </w:rPr>
      </w:pPr>
      <w:r w:rsidRPr="00F07D41">
        <w:rPr>
          <w:rFonts w:cs="Arial"/>
          <w:i/>
          <w:szCs w:val="24"/>
        </w:rPr>
        <w:t>(</w:t>
      </w:r>
      <w:r w:rsidR="00334CFD" w:rsidRPr="00F07D41">
        <w:rPr>
          <w:rFonts w:cs="Arial"/>
          <w:i/>
          <w:szCs w:val="24"/>
        </w:rPr>
        <w:t xml:space="preserve">Text </w:t>
      </w:r>
      <w:r w:rsidRPr="00F07D41">
        <w:rPr>
          <w:rFonts w:cs="Arial"/>
          <w:i/>
          <w:szCs w:val="24"/>
        </w:rPr>
        <w:t>später einzufügen)</w:t>
      </w:r>
    </w:p>
    <w:p w:rsidR="00EC2540" w:rsidRDefault="00EC2540" w:rsidP="00686222">
      <w:pPr>
        <w:spacing w:line="240" w:lineRule="auto"/>
        <w:rPr>
          <w:rFonts w:cs="Arial"/>
          <w:szCs w:val="24"/>
        </w:rPr>
      </w:pPr>
    </w:p>
    <w:p w:rsidR="009D26A4" w:rsidRPr="000F3B66" w:rsidRDefault="009D26A4" w:rsidP="00686222">
      <w:pPr>
        <w:spacing w:line="240" w:lineRule="auto"/>
        <w:rPr>
          <w:rFonts w:cs="Arial"/>
          <w:szCs w:val="24"/>
        </w:rPr>
      </w:pPr>
    </w:p>
    <w:p w:rsidR="00373ADD" w:rsidRPr="000F3B66" w:rsidRDefault="00373ADD" w:rsidP="00686222">
      <w:pPr>
        <w:spacing w:line="240" w:lineRule="auto"/>
        <w:rPr>
          <w:rFonts w:cs="Arial"/>
          <w:b/>
          <w:sz w:val="28"/>
          <w:szCs w:val="24"/>
        </w:rPr>
      </w:pPr>
      <w:r w:rsidRPr="000F3B66">
        <w:rPr>
          <w:rFonts w:cs="Arial"/>
          <w:b/>
          <w:sz w:val="28"/>
          <w:szCs w:val="24"/>
        </w:rPr>
        <w:t>Finanzmarktregulierung</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 xml:space="preserve">Die Finanzmärkte erfüllen eine wichtige Funktion für die Volkswirtschaft. Unsere Finanzmarktpolitik gibt der realwirtschaftlichen Dienstleistungsfunktion des Finanzsektors Vorrang vor spekulativen Geschäften. Indem wir der Spekulation klare Schranken setzen, Transparenz schaffen, nachhaltige Wachstumsstrategien fördern und die Krisenfestigkeit der Finanzmarktakteure stärken, verbessern wir die Funktionsfähigkeit und Stabilität der Finanzmärkte. Risiko und Haftung müssen wieder zusammengeführt werden. Die Steuerzahlerinnen und Steuerzahler sollen nicht mehr für die Risiken des Finanzsektors einstehen müssen. Für uns gilt deshalb der Grundsatz: Kein Finanzmarktakteur, kein Finanzprodukt und kein Markt darf in Zukunft ohne angemessene Regulierung bleiben. Dies trägt auch zur langfristigen Wettbewerbsfähigkeit der Finanzmärkte bei. Wir halten am bewährten Dreisäulensystem </w:t>
      </w:r>
      <w:r w:rsidR="00B92CA5" w:rsidRPr="000F3B66">
        <w:rPr>
          <w:rFonts w:cs="Arial"/>
          <w:szCs w:val="24"/>
        </w:rPr>
        <w:t xml:space="preserve">der deutschen Kreditinstitute </w:t>
      </w:r>
      <w:r w:rsidRPr="000F3B66">
        <w:rPr>
          <w:rFonts w:cs="Arial"/>
          <w:szCs w:val="24"/>
        </w:rPr>
        <w:t>fest und werden seine Besonderheiten angemessen berücksichtigen.</w:t>
      </w:r>
    </w:p>
    <w:p w:rsidR="00373ADD" w:rsidRPr="000F3B66" w:rsidRDefault="00373ADD" w:rsidP="00686222">
      <w:pPr>
        <w:spacing w:line="240" w:lineRule="auto"/>
        <w:rPr>
          <w:rFonts w:cs="Arial"/>
          <w:i/>
          <w:szCs w:val="24"/>
        </w:rPr>
      </w:pPr>
    </w:p>
    <w:p w:rsidR="00373ADD" w:rsidRPr="000F3B66" w:rsidRDefault="00373ADD" w:rsidP="00686222">
      <w:pPr>
        <w:spacing w:line="240" w:lineRule="auto"/>
        <w:rPr>
          <w:rFonts w:cs="Arial"/>
          <w:szCs w:val="24"/>
        </w:rPr>
      </w:pPr>
      <w:r w:rsidRPr="000F3B66">
        <w:rPr>
          <w:rFonts w:cs="Arial"/>
          <w:szCs w:val="24"/>
        </w:rPr>
        <w:t xml:space="preserve">Die im Rahmen </w:t>
      </w:r>
      <w:r w:rsidR="007B30E2" w:rsidRPr="000F3B66">
        <w:rPr>
          <w:rFonts w:cs="Arial"/>
          <w:szCs w:val="24"/>
        </w:rPr>
        <w:t>der europäischen Umsetzung von</w:t>
      </w:r>
      <w:r w:rsidRPr="000F3B66">
        <w:rPr>
          <w:rFonts w:cs="Arial"/>
          <w:szCs w:val="24"/>
        </w:rPr>
        <w:t xml:space="preserve"> Basel III vereinbarten strengeren Eigenkapital- und Liquiditätsstandards für Banken müssen in den vorgegebenen Zeitplänen konsequent umgesetzt werden. Dazu gehören auch eine verbindliche Schuldenobergrenze (Leverage Ratio), die den Risikogehalt der Geschäftsmodelle angemessen berücksichtigt, und eine verbindliche, mittelfristige Liquiditätskennziffer. Bei der Erfüllung der zusätzlichen Kapitalanforderungen müssen öffentliche Eigentümer beihilferechtlich anderen Eigentümern gleichgestellt werden. Entsprechende Maßnahmen zur Erfüllung der von der Aufsicht festgelegten Eigenkapital</w:t>
      </w:r>
      <w:r w:rsidRPr="000F3B66">
        <w:rPr>
          <w:rFonts w:cs="Arial"/>
          <w:szCs w:val="24"/>
        </w:rPr>
        <w:softHyphen/>
        <w:t>anforderungen für öffentliche Banken dürfen nicht als Beihilfen gewertet werden.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 xml:space="preserve">Unter die Europäische Bankenaufsicht fallen angesichts der Grenze von 30 Mrd. Euro auch Banken, die nur auf regional begrenzten oder sehr speziellen Sektoren tätig sind. Dies gilt z.B. für die Förderbanken, eine Sparkasse und kleinere Privatbanken. Die Bundesregierung wird die </w:t>
      </w:r>
      <w:r w:rsidR="00B92CA5" w:rsidRPr="000F3B66">
        <w:rPr>
          <w:rFonts w:cs="Arial"/>
          <w:szCs w:val="24"/>
        </w:rPr>
        <w:t>Bundesanstalt für Finanzdienstleistungs</w:t>
      </w:r>
      <w:r w:rsidR="009D26A4">
        <w:rPr>
          <w:rFonts w:cs="Arial"/>
          <w:szCs w:val="24"/>
        </w:rPr>
        <w:softHyphen/>
      </w:r>
      <w:r w:rsidR="00B92CA5" w:rsidRPr="000F3B66">
        <w:rPr>
          <w:rFonts w:cs="Arial"/>
          <w:szCs w:val="24"/>
        </w:rPr>
        <w:t>aufsicht (</w:t>
      </w:r>
      <w:r w:rsidRPr="000F3B66">
        <w:rPr>
          <w:rFonts w:cs="Arial"/>
          <w:szCs w:val="24"/>
        </w:rPr>
        <w:t>Ba</w:t>
      </w:r>
      <w:r w:rsidR="00B92CA5" w:rsidRPr="000F3B66">
        <w:rPr>
          <w:rFonts w:cs="Arial"/>
          <w:szCs w:val="24"/>
        </w:rPr>
        <w:t>F</w:t>
      </w:r>
      <w:r w:rsidRPr="000F3B66">
        <w:rPr>
          <w:rFonts w:cs="Arial"/>
          <w:szCs w:val="24"/>
        </w:rPr>
        <w:t>in</w:t>
      </w:r>
      <w:r w:rsidR="00B92CA5" w:rsidRPr="000F3B66">
        <w:rPr>
          <w:rFonts w:cs="Arial"/>
          <w:szCs w:val="24"/>
        </w:rPr>
        <w:t>)</w:t>
      </w:r>
      <w:r w:rsidRPr="000F3B66">
        <w:rPr>
          <w:rFonts w:cs="Arial"/>
          <w:szCs w:val="24"/>
        </w:rPr>
        <w:t xml:space="preserve"> beauftragen, im Rahmen ihrer Zuständigkeit für die Europäische Banken</w:t>
      </w:r>
      <w:r w:rsidRPr="000F3B66">
        <w:rPr>
          <w:rFonts w:cs="Arial"/>
          <w:szCs w:val="24"/>
        </w:rPr>
        <w:softHyphen/>
        <w:t>aufsicht in der Praxis dafür Sorge zu tragen, dass die Besonderheiten von einzelnen Banken, bspw. der Förderbanken, berücksichtigt werden.</w:t>
      </w:r>
    </w:p>
    <w:p w:rsidR="00373ADD" w:rsidRPr="000F3B66" w:rsidRDefault="00373ADD" w:rsidP="00686222">
      <w:pPr>
        <w:spacing w:line="240" w:lineRule="auto"/>
        <w:rPr>
          <w:rFonts w:cs="Arial"/>
          <w:szCs w:val="24"/>
        </w:rPr>
      </w:pPr>
    </w:p>
    <w:p w:rsidR="00373ADD" w:rsidRPr="009D26A4" w:rsidRDefault="00373ADD" w:rsidP="00686222">
      <w:pPr>
        <w:spacing w:line="240" w:lineRule="auto"/>
        <w:rPr>
          <w:rFonts w:cs="Arial"/>
          <w:szCs w:val="24"/>
        </w:rPr>
      </w:pPr>
      <w:r w:rsidRPr="009D26A4">
        <w:rPr>
          <w:rFonts w:cs="Arial"/>
          <w:szCs w:val="24"/>
        </w:rPr>
        <w:t xml:space="preserve">Mit Blick auf einen in den nächsten Jahren möglichen Anpassungsbedarf der CRD-IV-Richtlinie wird </w:t>
      </w:r>
      <w:r w:rsidR="009D26A4" w:rsidRPr="009D26A4">
        <w:rPr>
          <w:rFonts w:cs="Arial"/>
          <w:szCs w:val="24"/>
        </w:rPr>
        <w:t>sich die Bundesregierung dafür einsetzen, dass</w:t>
      </w:r>
      <w:r w:rsidRPr="009D26A4">
        <w:rPr>
          <w:rFonts w:cs="Arial"/>
          <w:szCs w:val="24"/>
        </w:rPr>
        <w:t xml:space="preserve"> die Förderbanken des Bundes und der Länder im europäischen Kontext bankenaufsichtsrechtlich zukünftig inhaltlich so weit wie m</w:t>
      </w:r>
      <w:r w:rsidR="009D26A4" w:rsidRPr="009D26A4">
        <w:rPr>
          <w:rFonts w:cs="Arial"/>
          <w:szCs w:val="24"/>
        </w:rPr>
        <w:t>öglich gleich behandelt werden.</w:t>
      </w:r>
    </w:p>
    <w:p w:rsidR="00373ADD" w:rsidRPr="000F3B66" w:rsidRDefault="00373ADD" w:rsidP="00686222">
      <w:pPr>
        <w:spacing w:line="240" w:lineRule="auto"/>
        <w:rPr>
          <w:rFonts w:cs="Arial"/>
          <w:szCs w:val="24"/>
        </w:rPr>
      </w:pPr>
    </w:p>
    <w:p w:rsidR="00373ADD" w:rsidRDefault="00373ADD" w:rsidP="00686222">
      <w:pPr>
        <w:spacing w:line="240" w:lineRule="auto"/>
        <w:rPr>
          <w:rFonts w:cs="Arial"/>
          <w:szCs w:val="24"/>
        </w:rPr>
      </w:pPr>
      <w:r w:rsidRPr="000F3B66">
        <w:rPr>
          <w:rFonts w:cs="Arial"/>
          <w:szCs w:val="24"/>
        </w:rPr>
        <w:t>Die Bundesregierung wird sich dafür einsetzen, dass die Vorschläge der europäischen Expertengruppe um E</w:t>
      </w:r>
      <w:r w:rsidR="00334CFD">
        <w:rPr>
          <w:rFonts w:cs="Arial"/>
          <w:szCs w:val="24"/>
        </w:rPr>
        <w:t>rkki</w:t>
      </w:r>
      <w:r w:rsidRPr="000F3B66">
        <w:rPr>
          <w:rFonts w:cs="Arial"/>
          <w:szCs w:val="24"/>
        </w:rPr>
        <w:t xml:space="preserve"> Liikanen zur Einschränkung riskanter Geschäfte, zur Einführung von Beleihungsobergrenzen bei Immobilienkrediten und einer strikteren Trennung von Investment- und Geschäftsbanking auf europäischer Ebene umgesetzt werden. Die Finanzierung der Realwirtschaft durch das bewährte Universalbankensystem darf durch das Reformvorhaben nicht gefährdet werden.</w:t>
      </w:r>
    </w:p>
    <w:p w:rsidR="00F07D41" w:rsidRPr="000F3B66" w:rsidRDefault="00F07D41"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Schattenbanken müssen so reguliert werden, dass für sie bei gleichem Geschäft und gleichem Risiko für die Stabilität des Finanzsystems die gleiche Regulierung gilt wie im klassischen Bankensektor. Alle Geschäftsbeziehungen zwischen Banken und Schattenbanken müssen transparent gemacht und Ansteckungsrisiken begrenzt werden.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Die Bundesregierung unterstützt die auf europäischer Ebene vorgesehene strengere Regulierung des Hochfrequenzhandels.</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Ebenso tritt die Bundesregierung für eine Eindämmung der Rohstoff- und Nahrungsmittelspekulation ein und befürwortet deshalb insbesondere die Einführung von Positionslimits auf den Rohstoffmärkten.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Die europäischen Vorschriften zur Regulierung des Derivatehandels sollen zielgerichtet ergänzt werden, um den transparenten Handel auf geregelten Börsen und Handelsplätzen zu stärken und der Entstehung systemischer Risiken entgegen zu wirken.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 xml:space="preserve">Rating-Agenturen haben eine zentrale Machtstellung auf den Finanzmärkten und bedürfen deshalb einer strengen Regulierung. Die Bundesregierung wird sich für eine effektive Anwendung der zivilrechtlichen Haftungsregelungen für Rating-Agenturen einsetzen und die </w:t>
      </w:r>
      <w:r w:rsidR="009D26A4">
        <w:rPr>
          <w:rFonts w:cs="Arial"/>
          <w:szCs w:val="24"/>
        </w:rPr>
        <w:t>Wettbewerbsfähigkeit</w:t>
      </w:r>
      <w:r w:rsidRPr="000F3B66">
        <w:rPr>
          <w:rFonts w:cs="Arial"/>
          <w:szCs w:val="24"/>
        </w:rPr>
        <w:t xml:space="preserve"> europäischer Rating-Agenturen fördern. Wir w</w:t>
      </w:r>
      <w:r w:rsidR="001A29EF" w:rsidRPr="000F3B66">
        <w:rPr>
          <w:rFonts w:cs="Arial"/>
          <w:szCs w:val="24"/>
        </w:rPr>
        <w:t>oll</w:t>
      </w:r>
      <w:r w:rsidRPr="000F3B66">
        <w:rPr>
          <w:rFonts w:cs="Arial"/>
          <w:szCs w:val="24"/>
        </w:rPr>
        <w:t xml:space="preserve">en die Rechtsnormen reduzieren, die eine Einschaltung der drei großen Rating-Agenturen vorschreiben. Wir </w:t>
      </w:r>
      <w:r w:rsidR="001A29EF" w:rsidRPr="000F3B66">
        <w:rPr>
          <w:rFonts w:cs="Arial"/>
          <w:szCs w:val="24"/>
        </w:rPr>
        <w:t>wollen</w:t>
      </w:r>
      <w:r w:rsidRPr="000F3B66">
        <w:rPr>
          <w:rFonts w:cs="Arial"/>
          <w:szCs w:val="24"/>
        </w:rPr>
        <w:t xml:space="preserve"> auch die Bedeutung externer Ratings reduzieren.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 xml:space="preserve">Das bisherige Straf- und Ordnungswidrigkeitenrecht hat noch keine hinreichende Wirkung im Finanzmarktbereich gezeigt. In Zukunft muss noch stärker gelten: Gemeinschädliches Handeln von Unternehmen und Managern muss angemessen sanktioniert werden. Wir unterstützen die Aufnahme strenger Vorschriften in den maßgeblichen europäischen Rechtsakten, welche insbesondere den Rahmen für Geldsanktionen auf ein angemessenes Niveau anheben und die Verhängung spürbarer Sanktionen gegen Unternehmen vorsehen, die gegen regulatorische Vorgaben verstoßen, und werden für deren Umsetzung ins deutsche Recht Sorge tragen. </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 xml:space="preserve">Wir werden den Kampf gegen Finanzbetrug, Geldwäsche und Steuerhinterziehung sowie gegen die Terrorismusfinanzierung ebenso intensivieren wie die Zusammenarbeit mit allen zuständigen Aufsichts- und Ermittlungsbehörden. Maßstab bei den Maßnahmen gegen die Geldwäsche und damit der Bekämpfung der organisierten Kriminalität in Deutschland werden dabei die internationalen Standards der </w:t>
      </w:r>
      <w:r w:rsidR="00B92CA5" w:rsidRPr="000F3B66">
        <w:rPr>
          <w:rFonts w:cs="Arial"/>
          <w:szCs w:val="24"/>
        </w:rPr>
        <w:t xml:space="preserve">Financial Action Task Force </w:t>
      </w:r>
      <w:r w:rsidR="00393969" w:rsidRPr="000F3B66">
        <w:rPr>
          <w:rFonts w:cs="Arial"/>
          <w:szCs w:val="24"/>
        </w:rPr>
        <w:t xml:space="preserve">on Money Laundering </w:t>
      </w:r>
      <w:r w:rsidR="00B92CA5" w:rsidRPr="000F3B66">
        <w:rPr>
          <w:rFonts w:cs="Arial"/>
          <w:szCs w:val="24"/>
        </w:rPr>
        <w:t>(</w:t>
      </w:r>
      <w:r w:rsidRPr="000F3B66">
        <w:rPr>
          <w:rFonts w:cs="Arial"/>
          <w:szCs w:val="24"/>
        </w:rPr>
        <w:t>FATF</w:t>
      </w:r>
      <w:r w:rsidR="00B92CA5" w:rsidRPr="000F3B66">
        <w:rPr>
          <w:rFonts w:cs="Arial"/>
          <w:szCs w:val="24"/>
        </w:rPr>
        <w:t>)</w:t>
      </w:r>
      <w:r w:rsidRPr="000F3B66">
        <w:rPr>
          <w:rFonts w:cs="Arial"/>
          <w:szCs w:val="24"/>
        </w:rPr>
        <w:t xml:space="preserve"> sein. Wir werden auch den Geldwäschetatbestand (§ 261 StGB) entsprechend anpassen.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Wir wollen Lösungsvorschläge zum Umgang mit den Folgen eines lang anhaltenden Niedrig</w:t>
      </w:r>
      <w:r w:rsidRPr="000F3B66">
        <w:rPr>
          <w:rFonts w:cs="Arial"/>
          <w:szCs w:val="24"/>
        </w:rPr>
        <w:softHyphen/>
        <w:t>zinsumfeldes erarbeiten und im Interesse der Versichertengemeinschaft geeignete Maß</w:t>
      </w:r>
      <w:r w:rsidRPr="000F3B66">
        <w:rPr>
          <w:rFonts w:cs="Arial"/>
          <w:szCs w:val="24"/>
        </w:rPr>
        <w:softHyphen/>
        <w:t>nah</w:t>
      </w:r>
      <w:r w:rsidRPr="000F3B66">
        <w:rPr>
          <w:rFonts w:cs="Arial"/>
          <w:szCs w:val="24"/>
        </w:rPr>
        <w:softHyphen/>
        <w:t>men zur Stärkung der Risikotragfähigkeit und Stabilität der Lebensversicherungen treffen.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Die nationale Finanzmarktaufsicht in ihrer bisherigen Struktur aus Ba</w:t>
      </w:r>
      <w:r w:rsidR="00B92CA5" w:rsidRPr="000F3B66">
        <w:rPr>
          <w:rFonts w:cs="Arial"/>
          <w:szCs w:val="24"/>
        </w:rPr>
        <w:t>F</w:t>
      </w:r>
      <w:r w:rsidRPr="000F3B66">
        <w:rPr>
          <w:rFonts w:cs="Arial"/>
          <w:szCs w:val="24"/>
        </w:rPr>
        <w:t>in und Deutscher Bundesbank hat sich bewährt und ist ein unverzichtbarer Bestandteil im Konzept der neuen europäischen Aufsichtsstruktur.</w:t>
      </w:r>
      <w:r w:rsidR="00E13887">
        <w:rPr>
          <w:rFonts w:cs="Arial"/>
          <w:szCs w:val="24"/>
        </w:rPr>
        <w:t xml:space="preserve"> </w:t>
      </w:r>
      <w:r w:rsidRPr="000F3B66">
        <w:rPr>
          <w:rFonts w:cs="Arial"/>
          <w:szCs w:val="24"/>
        </w:rPr>
        <w:t>Die Ba</w:t>
      </w:r>
      <w:r w:rsidR="00B92CA5" w:rsidRPr="000F3B66">
        <w:rPr>
          <w:rFonts w:cs="Arial"/>
          <w:szCs w:val="24"/>
        </w:rPr>
        <w:t>F</w:t>
      </w:r>
      <w:r w:rsidRPr="000F3B66">
        <w:rPr>
          <w:rFonts w:cs="Arial"/>
          <w:szCs w:val="24"/>
        </w:rPr>
        <w:t>in erhält die Möglichkeit, entsprechend den europäischen Regeln den Vertrieb komplexer und intransparenter Finanzprodukte zu beschränken oder zu verbieten, sofern diese die Finanzmarktstabilität gefährden oder unverhältnismäßige Risiken für Anleger bergen. Sie erhält den kollektiven Schutz der Verbraucher als wichtiges Ziel ihrer Aufsi</w:t>
      </w:r>
      <w:r w:rsidR="00B92CA5" w:rsidRPr="000F3B66">
        <w:rPr>
          <w:rFonts w:cs="Arial"/>
          <w:szCs w:val="24"/>
        </w:rPr>
        <w:t>chtstätigkeit.</w:t>
      </w:r>
      <w:r w:rsidR="00B92CA5" w:rsidRPr="000F3B66">
        <w:rPr>
          <w:rFonts w:cs="Arial"/>
          <w:i/>
          <w:szCs w:val="24"/>
        </w:rPr>
        <w:t xml:space="preserve"> </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Wir unterstützen die europäischen Initiativen zum Girokonto für jedermann.</w:t>
      </w:r>
      <w:r w:rsidR="009E4D34" w:rsidRPr="000F3B66">
        <w:rPr>
          <w:rFonts w:cs="Arial"/>
          <w:szCs w:val="24"/>
        </w:rPr>
        <w:t xml:space="preserve"> Wir werden bei der nationalen Umsetzung sicherstellen, dass alle Institutsgruppen in</w:t>
      </w:r>
      <w:r w:rsidR="009E4D34" w:rsidRPr="000F3B66">
        <w:rPr>
          <w:rFonts w:cs="Arial"/>
          <w:i/>
          <w:szCs w:val="24"/>
        </w:rPr>
        <w:t xml:space="preserve"> </w:t>
      </w:r>
      <w:r w:rsidR="009E4D34" w:rsidRPr="000F3B66">
        <w:rPr>
          <w:rFonts w:cs="Arial"/>
          <w:szCs w:val="24"/>
        </w:rPr>
        <w:t>angemessener Weise beteiligt sind.</w:t>
      </w:r>
    </w:p>
    <w:p w:rsidR="00373ADD" w:rsidRPr="000F3B66" w:rsidRDefault="00373ADD" w:rsidP="00686222">
      <w:pPr>
        <w:spacing w:line="240" w:lineRule="auto"/>
        <w:rPr>
          <w:rFonts w:cs="Arial"/>
          <w:i/>
          <w:szCs w:val="24"/>
        </w:rPr>
      </w:pPr>
    </w:p>
    <w:p w:rsidR="00373ADD" w:rsidRPr="000F3B66" w:rsidRDefault="00373ADD" w:rsidP="00686222">
      <w:pPr>
        <w:spacing w:line="240" w:lineRule="auto"/>
        <w:rPr>
          <w:rFonts w:cs="Arial"/>
          <w:szCs w:val="24"/>
        </w:rPr>
      </w:pPr>
      <w:r w:rsidRPr="000F3B66">
        <w:rPr>
          <w:rFonts w:cs="Arial"/>
          <w:szCs w:val="24"/>
        </w:rPr>
        <w:t>Die Inanspruchnahme des Dispositionskredits soll nicht zu einer übermäßigen Belastung eines Bankkunden führen. Daher sollen die Banken verpflichtet werden, beim Übertritt in den Dispositionskredit einen Warnhinweis zu geben; bei dauerhafter und erheblicher Inanspruchnahme sollen sie dem Kunden eine Beratung über mögliche kostengünstigere Alternativen zum Disp</w:t>
      </w:r>
      <w:r w:rsidR="00FE200A" w:rsidRPr="000F3B66">
        <w:rPr>
          <w:rFonts w:cs="Arial"/>
          <w:szCs w:val="24"/>
        </w:rPr>
        <w:t>ositionskredit anbieten müssen.</w:t>
      </w:r>
    </w:p>
    <w:p w:rsidR="00373ADD" w:rsidRPr="000F3B66" w:rsidRDefault="00373ADD" w:rsidP="00686222">
      <w:pPr>
        <w:spacing w:line="240" w:lineRule="auto"/>
        <w:rPr>
          <w:rFonts w:cs="Arial"/>
          <w:i/>
          <w:szCs w:val="24"/>
        </w:rPr>
      </w:pPr>
    </w:p>
    <w:p w:rsidR="00373ADD" w:rsidRPr="000F3B66" w:rsidRDefault="00373ADD" w:rsidP="00686222">
      <w:pPr>
        <w:spacing w:line="240" w:lineRule="auto"/>
        <w:rPr>
          <w:rFonts w:cs="Arial"/>
          <w:szCs w:val="24"/>
        </w:rPr>
      </w:pPr>
      <w:r w:rsidRPr="000F3B66">
        <w:rPr>
          <w:rFonts w:cs="Arial"/>
          <w:szCs w:val="24"/>
        </w:rPr>
        <w:t>Wir werden die Einführung der Honorarberatung als Alternative zu einer Beratung auf Provisionsbasis für alle Finanzprodukte vorantreiben und hohe Anforderungen an die Qualität der Beratung festlegen.</w:t>
      </w:r>
      <w:r w:rsidR="00FE200A" w:rsidRPr="000F3B66">
        <w:rPr>
          <w:rFonts w:cs="Arial"/>
          <w:szCs w:val="24"/>
        </w:rPr>
        <w:t xml:space="preserve"> Die Berufsbezeichnungen und Ausbildungsstandards der Berater auf Honorarbasis werden weiterentwickelt.</w:t>
      </w:r>
    </w:p>
    <w:p w:rsidR="00373ADD" w:rsidRPr="000F3B66" w:rsidRDefault="00373ADD" w:rsidP="00686222">
      <w:pPr>
        <w:spacing w:line="240" w:lineRule="auto"/>
        <w:rPr>
          <w:rFonts w:cs="Arial"/>
          <w:i/>
          <w:szCs w:val="24"/>
        </w:rPr>
      </w:pPr>
    </w:p>
    <w:p w:rsidR="00373ADD" w:rsidRPr="000F3B66" w:rsidRDefault="00373ADD" w:rsidP="00686222">
      <w:pPr>
        <w:spacing w:line="240" w:lineRule="auto"/>
        <w:rPr>
          <w:rFonts w:cs="Arial"/>
          <w:szCs w:val="24"/>
        </w:rPr>
      </w:pPr>
      <w:r w:rsidRPr="000F3B66">
        <w:rPr>
          <w:rFonts w:cs="Arial"/>
          <w:szCs w:val="24"/>
        </w:rPr>
        <w:t>Das in der finanziellen Anlageberatung verwendete Beratungsprotokoll werden wir im Hinblick auf die praktikable Handhabung überprüfen und mit Verbesserunge</w:t>
      </w:r>
      <w:r w:rsidR="00FE200A" w:rsidRPr="000F3B66">
        <w:rPr>
          <w:rFonts w:cs="Arial"/>
          <w:szCs w:val="24"/>
        </w:rPr>
        <w:t>n für Anleger weiterentwickeln.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Wir wollen eine Finanztransaktionssteuer mit breiter Bemessungsgrundlage und niedrigem Steuersatz zügig umsetzen und zwar im Rahmen einer verstärkten Zusammenarbeit in der EU. Eine solche Besteuerung sollte möglichst alle Finanzinstrumente umfassen, insbesondere Aktien, Anleihen, Investmentanteile, Devisentransaktionen sowie Derivatekontrakte. Durch die Ausgestaltung der Steuer wollen wir Ausweichreaktionen vermeiden. Dabei gilt es, die Auswirkungen der Steuer auf Instrumente der Altersversorgung, auf die Kleinanleger sowie die Realwirtschaft zu bewerten und negative Folgen zu vermeiden sowie zugleich unerwünschte Formen von Finanzgeschäften zurückzudrängen.</w:t>
      </w:r>
    </w:p>
    <w:p w:rsidR="00373ADD" w:rsidRPr="000F3B66" w:rsidRDefault="00373ADD" w:rsidP="00686222">
      <w:pPr>
        <w:spacing w:line="240" w:lineRule="auto"/>
        <w:rPr>
          <w:rFonts w:cs="Arial"/>
          <w:szCs w:val="24"/>
        </w:rPr>
      </w:pPr>
    </w:p>
    <w:p w:rsidR="00373ADD" w:rsidRPr="000F3B66" w:rsidRDefault="00373ADD" w:rsidP="00686222">
      <w:pPr>
        <w:spacing w:line="240" w:lineRule="auto"/>
        <w:rPr>
          <w:rFonts w:cs="Arial"/>
          <w:szCs w:val="24"/>
        </w:rPr>
      </w:pPr>
      <w:r w:rsidRPr="000F3B66">
        <w:rPr>
          <w:rFonts w:cs="Arial"/>
          <w:szCs w:val="24"/>
        </w:rPr>
        <w:t>Dauerhaftes Wachstum braucht langfristig orientierte Investitionen. Deshalb werden wir bei allen Finanzmarktregulierungen auf diese Notwendigkeit achten. Im Übrigen werden wir das Zusammenwirken von Regulierungsmaßnahmen gemeinsam mit der Ba</w:t>
      </w:r>
      <w:r w:rsidR="00110A32" w:rsidRPr="000F3B66">
        <w:rPr>
          <w:rFonts w:cs="Arial"/>
          <w:szCs w:val="24"/>
        </w:rPr>
        <w:t>F</w:t>
      </w:r>
      <w:r w:rsidRPr="000F3B66">
        <w:rPr>
          <w:rFonts w:cs="Arial"/>
          <w:szCs w:val="24"/>
        </w:rPr>
        <w:t xml:space="preserve">in auf Praktikabilität </w:t>
      </w:r>
      <w:r w:rsidR="00110A32" w:rsidRPr="000F3B66">
        <w:rPr>
          <w:rFonts w:cs="Arial"/>
          <w:szCs w:val="24"/>
        </w:rPr>
        <w:t>und Zielgenauigkeit überprüfen.</w:t>
      </w:r>
    </w:p>
    <w:p w:rsidR="00373ADD" w:rsidRPr="000F3B66" w:rsidRDefault="00373ADD" w:rsidP="00686222">
      <w:pPr>
        <w:spacing w:line="240" w:lineRule="auto"/>
        <w:rPr>
          <w:rFonts w:cs="Arial"/>
          <w:szCs w:val="24"/>
        </w:rPr>
      </w:pPr>
    </w:p>
    <w:sectPr w:rsidR="00373ADD" w:rsidRPr="000F3B66" w:rsidSect="00FB5F69">
      <w:headerReference w:type="default" r:id="rId9"/>
      <w:headerReference w:type="first" r:id="rId10"/>
      <w:pgSz w:w="11906" w:h="16838"/>
      <w:pgMar w:top="1417" w:right="1417" w:bottom="1134" w:left="1417"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B97" w:rsidRDefault="001F7B97" w:rsidP="00FB5F69">
      <w:pPr>
        <w:spacing w:line="240" w:lineRule="auto"/>
      </w:pPr>
      <w:r>
        <w:separator/>
      </w:r>
    </w:p>
  </w:endnote>
  <w:endnote w:type="continuationSeparator" w:id="0">
    <w:p w:rsidR="001F7B97" w:rsidRDefault="001F7B97" w:rsidP="00FB5F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B97" w:rsidRDefault="001F7B97" w:rsidP="00FB5F69">
      <w:pPr>
        <w:spacing w:line="240" w:lineRule="auto"/>
      </w:pPr>
      <w:r>
        <w:separator/>
      </w:r>
    </w:p>
  </w:footnote>
  <w:footnote w:type="continuationSeparator" w:id="0">
    <w:p w:rsidR="001F7B97" w:rsidRDefault="001F7B97" w:rsidP="00FB5F69">
      <w:pPr>
        <w:spacing w:line="240" w:lineRule="auto"/>
      </w:pPr>
      <w:r>
        <w:continuationSeparator/>
      </w:r>
    </w:p>
  </w:footnote>
  <w:footnote w:id="1">
    <w:p w:rsidR="00DA0ECD" w:rsidRDefault="00DA0ECD">
      <w:pPr>
        <w:pStyle w:val="Funotentext"/>
      </w:pPr>
      <w:r>
        <w:rPr>
          <w:rStyle w:val="Funotenzeichen"/>
        </w:rPr>
        <w:footnoteRef/>
      </w:r>
      <w:r>
        <w:t xml:space="preserve"> </w:t>
      </w:r>
      <w:r w:rsidRPr="00DA0ECD">
        <w:t>CSU</w:t>
      </w:r>
      <w:r>
        <w:t>:</w:t>
      </w:r>
      <w:r w:rsidRPr="00DA0ECD">
        <w:t xml:space="preserve"> </w:t>
      </w:r>
      <w:r>
        <w:t xml:space="preserve">Vorbehalt </w:t>
      </w:r>
      <w:r w:rsidRPr="00DA0ECD">
        <w:t>zugunsten einer Regionalisierung von Erbschaft- und Grundsteuer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004214"/>
      <w:docPartObj>
        <w:docPartGallery w:val="Page Numbers (Top of Page)"/>
        <w:docPartUnique/>
      </w:docPartObj>
    </w:sdtPr>
    <w:sdtEndPr/>
    <w:sdtContent>
      <w:p w:rsidR="00373ADD" w:rsidRDefault="00373ADD">
        <w:pPr>
          <w:pStyle w:val="Kopfzeile"/>
          <w:jc w:val="center"/>
        </w:pPr>
        <w:r>
          <w:fldChar w:fldCharType="begin"/>
        </w:r>
        <w:r>
          <w:instrText>PAGE   \* MERGEFORMAT</w:instrText>
        </w:r>
        <w:r>
          <w:fldChar w:fldCharType="separate"/>
        </w:r>
        <w:r w:rsidR="00873CFB">
          <w:rPr>
            <w:noProof/>
          </w:rPr>
          <w:t>2</w:t>
        </w:r>
        <w:r>
          <w:fldChar w:fldCharType="end"/>
        </w:r>
      </w:p>
    </w:sdtContent>
  </w:sdt>
  <w:p w:rsidR="00FB5F69" w:rsidRDefault="00FB5F6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69" w:rsidRDefault="00843D68">
    <w:pPr>
      <w:pStyle w:val="Kopfzeile"/>
    </w:pPr>
    <w:r>
      <w:t>Entwurf</w:t>
    </w:r>
    <w:r>
      <w:tab/>
    </w:r>
    <w:r>
      <w:tab/>
      <w:t>20. November 2013, 17</w:t>
    </w:r>
    <w:r w:rsidR="00FB5F69">
      <w:t>:00 Uhr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12A55"/>
    <w:multiLevelType w:val="hybridMultilevel"/>
    <w:tmpl w:val="7FAC9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89E3765"/>
    <w:multiLevelType w:val="hybridMultilevel"/>
    <w:tmpl w:val="AFB43FCC"/>
    <w:lvl w:ilvl="0" w:tplc="029EC324">
      <w:numFmt w:val="bullet"/>
      <w:lvlText w:val="-"/>
      <w:lvlJc w:val="left"/>
      <w:pPr>
        <w:ind w:left="360" w:hanging="360"/>
      </w:pPr>
      <w:rPr>
        <w:rFonts w:ascii="Times New Roman" w:eastAsiaTheme="minorEastAsia"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739D27A8"/>
    <w:multiLevelType w:val="hybridMultilevel"/>
    <w:tmpl w:val="8FEE4228"/>
    <w:lvl w:ilvl="0" w:tplc="DD2EBB1C">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F69"/>
    <w:rsid w:val="00044578"/>
    <w:rsid w:val="00077459"/>
    <w:rsid w:val="000E374E"/>
    <w:rsid w:val="000F3B66"/>
    <w:rsid w:val="00101FF7"/>
    <w:rsid w:val="00110A32"/>
    <w:rsid w:val="00144F6A"/>
    <w:rsid w:val="001A29EF"/>
    <w:rsid w:val="001E075E"/>
    <w:rsid w:val="001F7B97"/>
    <w:rsid w:val="00254718"/>
    <w:rsid w:val="00287EAD"/>
    <w:rsid w:val="0029393B"/>
    <w:rsid w:val="002E6681"/>
    <w:rsid w:val="00334CFD"/>
    <w:rsid w:val="0034563A"/>
    <w:rsid w:val="00373ADD"/>
    <w:rsid w:val="00382770"/>
    <w:rsid w:val="00385453"/>
    <w:rsid w:val="00392987"/>
    <w:rsid w:val="00393969"/>
    <w:rsid w:val="00466870"/>
    <w:rsid w:val="00476AAD"/>
    <w:rsid w:val="004E1023"/>
    <w:rsid w:val="004F1E1C"/>
    <w:rsid w:val="005013DB"/>
    <w:rsid w:val="005412F9"/>
    <w:rsid w:val="005462DA"/>
    <w:rsid w:val="00546494"/>
    <w:rsid w:val="0055125B"/>
    <w:rsid w:val="0059267C"/>
    <w:rsid w:val="005B5E89"/>
    <w:rsid w:val="005C7C4F"/>
    <w:rsid w:val="005F360C"/>
    <w:rsid w:val="00601C0B"/>
    <w:rsid w:val="006367B7"/>
    <w:rsid w:val="00650BD6"/>
    <w:rsid w:val="00686222"/>
    <w:rsid w:val="006F14CC"/>
    <w:rsid w:val="00732428"/>
    <w:rsid w:val="007B30E2"/>
    <w:rsid w:val="007B6592"/>
    <w:rsid w:val="0080730A"/>
    <w:rsid w:val="00843D68"/>
    <w:rsid w:val="00873CFB"/>
    <w:rsid w:val="0090601B"/>
    <w:rsid w:val="00926723"/>
    <w:rsid w:val="00976583"/>
    <w:rsid w:val="00981EF7"/>
    <w:rsid w:val="009833E2"/>
    <w:rsid w:val="009D26A4"/>
    <w:rsid w:val="009E4D34"/>
    <w:rsid w:val="00A34325"/>
    <w:rsid w:val="00A46FC7"/>
    <w:rsid w:val="00AB574B"/>
    <w:rsid w:val="00AD6674"/>
    <w:rsid w:val="00B3461E"/>
    <w:rsid w:val="00B53E4F"/>
    <w:rsid w:val="00B92CA5"/>
    <w:rsid w:val="00BD5E25"/>
    <w:rsid w:val="00C40E1D"/>
    <w:rsid w:val="00C62C2F"/>
    <w:rsid w:val="00CF59F9"/>
    <w:rsid w:val="00D10A17"/>
    <w:rsid w:val="00D502BE"/>
    <w:rsid w:val="00D6710C"/>
    <w:rsid w:val="00DA0ECD"/>
    <w:rsid w:val="00DF01F6"/>
    <w:rsid w:val="00E13887"/>
    <w:rsid w:val="00E91510"/>
    <w:rsid w:val="00E91D50"/>
    <w:rsid w:val="00EA1C13"/>
    <w:rsid w:val="00EA38FA"/>
    <w:rsid w:val="00EC2540"/>
    <w:rsid w:val="00ED0EFE"/>
    <w:rsid w:val="00F07D41"/>
    <w:rsid w:val="00F1063F"/>
    <w:rsid w:val="00F512BE"/>
    <w:rsid w:val="00F57CCC"/>
    <w:rsid w:val="00FB5F69"/>
    <w:rsid w:val="00FB77D2"/>
    <w:rsid w:val="00FE200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ja-JP" w:bidi="ar-SA"/>
      </w:rPr>
    </w:rPrDefault>
    <w:pPrDefault>
      <w:pPr>
        <w:spacing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7EAD"/>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FB5F69"/>
  </w:style>
  <w:style w:type="paragraph" w:styleId="Kopfzeile">
    <w:name w:val="header"/>
    <w:basedOn w:val="Standard"/>
    <w:link w:val="KopfzeileZchn"/>
    <w:uiPriority w:val="99"/>
    <w:unhideWhenUsed/>
    <w:rsid w:val="00FB5F6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B5F69"/>
  </w:style>
  <w:style w:type="paragraph" w:styleId="Fuzeile">
    <w:name w:val="footer"/>
    <w:basedOn w:val="Standard"/>
    <w:link w:val="FuzeileZchn"/>
    <w:uiPriority w:val="99"/>
    <w:unhideWhenUsed/>
    <w:rsid w:val="00FB5F6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B5F69"/>
  </w:style>
  <w:style w:type="paragraph" w:styleId="Sprechblasentext">
    <w:name w:val="Balloon Text"/>
    <w:basedOn w:val="Standard"/>
    <w:link w:val="SprechblasentextZchn"/>
    <w:uiPriority w:val="99"/>
    <w:semiHidden/>
    <w:unhideWhenUsed/>
    <w:rsid w:val="00FB5F6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5F69"/>
    <w:rPr>
      <w:rFonts w:ascii="Tahoma" w:hAnsi="Tahoma" w:cs="Tahoma"/>
      <w:sz w:val="16"/>
      <w:szCs w:val="16"/>
    </w:rPr>
  </w:style>
  <w:style w:type="character" w:styleId="Hyperlink">
    <w:name w:val="Hyperlink"/>
    <w:basedOn w:val="Absatz-Standardschriftart"/>
    <w:uiPriority w:val="99"/>
    <w:unhideWhenUsed/>
    <w:rsid w:val="00EC2540"/>
    <w:rPr>
      <w:color w:val="0000FF" w:themeColor="hyperlink"/>
      <w:u w:val="single"/>
    </w:rPr>
  </w:style>
  <w:style w:type="paragraph" w:styleId="Listenabsatz">
    <w:name w:val="List Paragraph"/>
    <w:basedOn w:val="Standard"/>
    <w:uiPriority w:val="34"/>
    <w:qFormat/>
    <w:rsid w:val="00077459"/>
    <w:pPr>
      <w:ind w:left="720"/>
      <w:contextualSpacing/>
    </w:pPr>
  </w:style>
  <w:style w:type="paragraph" w:styleId="Funotentext">
    <w:name w:val="footnote text"/>
    <w:basedOn w:val="Standard"/>
    <w:link w:val="FunotentextZchn"/>
    <w:uiPriority w:val="99"/>
    <w:semiHidden/>
    <w:unhideWhenUsed/>
    <w:rsid w:val="00DA0ECD"/>
    <w:pPr>
      <w:spacing w:line="240" w:lineRule="auto"/>
    </w:pPr>
    <w:rPr>
      <w:sz w:val="20"/>
      <w:szCs w:val="20"/>
    </w:rPr>
  </w:style>
  <w:style w:type="character" w:customStyle="1" w:styleId="FunotentextZchn">
    <w:name w:val="Fußnotentext Zchn"/>
    <w:basedOn w:val="Absatz-Standardschriftart"/>
    <w:link w:val="Funotentext"/>
    <w:uiPriority w:val="99"/>
    <w:semiHidden/>
    <w:rsid w:val="00DA0ECD"/>
    <w:rPr>
      <w:rFonts w:ascii="Arial" w:hAnsi="Arial"/>
      <w:sz w:val="20"/>
      <w:szCs w:val="20"/>
    </w:rPr>
  </w:style>
  <w:style w:type="character" w:styleId="Funotenzeichen">
    <w:name w:val="footnote reference"/>
    <w:basedOn w:val="Absatz-Standardschriftart"/>
    <w:uiPriority w:val="99"/>
    <w:semiHidden/>
    <w:unhideWhenUsed/>
    <w:rsid w:val="00DA0E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ja-JP" w:bidi="ar-SA"/>
      </w:rPr>
    </w:rPrDefault>
    <w:pPrDefault>
      <w:pPr>
        <w:spacing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7EAD"/>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FB5F69"/>
  </w:style>
  <w:style w:type="paragraph" w:styleId="Kopfzeile">
    <w:name w:val="header"/>
    <w:basedOn w:val="Standard"/>
    <w:link w:val="KopfzeileZchn"/>
    <w:uiPriority w:val="99"/>
    <w:unhideWhenUsed/>
    <w:rsid w:val="00FB5F6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B5F69"/>
  </w:style>
  <w:style w:type="paragraph" w:styleId="Fuzeile">
    <w:name w:val="footer"/>
    <w:basedOn w:val="Standard"/>
    <w:link w:val="FuzeileZchn"/>
    <w:uiPriority w:val="99"/>
    <w:unhideWhenUsed/>
    <w:rsid w:val="00FB5F6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B5F69"/>
  </w:style>
  <w:style w:type="paragraph" w:styleId="Sprechblasentext">
    <w:name w:val="Balloon Text"/>
    <w:basedOn w:val="Standard"/>
    <w:link w:val="SprechblasentextZchn"/>
    <w:uiPriority w:val="99"/>
    <w:semiHidden/>
    <w:unhideWhenUsed/>
    <w:rsid w:val="00FB5F6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5F69"/>
    <w:rPr>
      <w:rFonts w:ascii="Tahoma" w:hAnsi="Tahoma" w:cs="Tahoma"/>
      <w:sz w:val="16"/>
      <w:szCs w:val="16"/>
    </w:rPr>
  </w:style>
  <w:style w:type="character" w:styleId="Hyperlink">
    <w:name w:val="Hyperlink"/>
    <w:basedOn w:val="Absatz-Standardschriftart"/>
    <w:uiPriority w:val="99"/>
    <w:unhideWhenUsed/>
    <w:rsid w:val="00EC2540"/>
    <w:rPr>
      <w:color w:val="0000FF" w:themeColor="hyperlink"/>
      <w:u w:val="single"/>
    </w:rPr>
  </w:style>
  <w:style w:type="paragraph" w:styleId="Listenabsatz">
    <w:name w:val="List Paragraph"/>
    <w:basedOn w:val="Standard"/>
    <w:uiPriority w:val="34"/>
    <w:qFormat/>
    <w:rsid w:val="00077459"/>
    <w:pPr>
      <w:ind w:left="720"/>
      <w:contextualSpacing/>
    </w:pPr>
  </w:style>
  <w:style w:type="paragraph" w:styleId="Funotentext">
    <w:name w:val="footnote text"/>
    <w:basedOn w:val="Standard"/>
    <w:link w:val="FunotentextZchn"/>
    <w:uiPriority w:val="99"/>
    <w:semiHidden/>
    <w:unhideWhenUsed/>
    <w:rsid w:val="00DA0ECD"/>
    <w:pPr>
      <w:spacing w:line="240" w:lineRule="auto"/>
    </w:pPr>
    <w:rPr>
      <w:sz w:val="20"/>
      <w:szCs w:val="20"/>
    </w:rPr>
  </w:style>
  <w:style w:type="character" w:customStyle="1" w:styleId="FunotentextZchn">
    <w:name w:val="Fußnotentext Zchn"/>
    <w:basedOn w:val="Absatz-Standardschriftart"/>
    <w:link w:val="Funotentext"/>
    <w:uiPriority w:val="99"/>
    <w:semiHidden/>
    <w:rsid w:val="00DA0ECD"/>
    <w:rPr>
      <w:rFonts w:ascii="Arial" w:hAnsi="Arial"/>
      <w:sz w:val="20"/>
      <w:szCs w:val="20"/>
    </w:rPr>
  </w:style>
  <w:style w:type="character" w:styleId="Funotenzeichen">
    <w:name w:val="footnote reference"/>
    <w:basedOn w:val="Absatz-Standardschriftart"/>
    <w:uiPriority w:val="99"/>
    <w:semiHidden/>
    <w:unhideWhenUsed/>
    <w:rsid w:val="00DA0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DE44F-7435-4FB8-A0DB-2840181BA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3820</Words>
  <Characters>24067</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27832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Weißgerber Dr., Jürg (L SuP)</dc:creator>
  <cp:lastModifiedBy>JR. Roeder</cp:lastModifiedBy>
  <cp:revision>2</cp:revision>
  <dcterms:created xsi:type="dcterms:W3CDTF">2013-11-21T17:05:00Z</dcterms:created>
  <dcterms:modified xsi:type="dcterms:W3CDTF">2013-11-21T17:05:00Z</dcterms:modified>
</cp:coreProperties>
</file>